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9BE8C" w14:textId="77777777" w:rsidR="00D01B5A" w:rsidRDefault="00D01B5A" w:rsidP="00BB4EAE">
      <w:pPr>
        <w:pStyle w:val="NoSpacing"/>
        <w:jc w:val="both"/>
        <w:rPr>
          <w:rFonts w:ascii="Arial" w:hAnsi="Arial" w:cs="Arial"/>
          <w:b/>
          <w:sz w:val="24"/>
          <w:szCs w:val="24"/>
        </w:rPr>
      </w:pPr>
      <w:bookmarkStart w:id="0" w:name="_GoBack"/>
      <w:bookmarkEnd w:id="0"/>
    </w:p>
    <w:p w14:paraId="1D6FD78E" w14:textId="77777777" w:rsidR="00217C64" w:rsidRDefault="00217C64" w:rsidP="00BB4EAE">
      <w:pPr>
        <w:pStyle w:val="NoSpacing"/>
        <w:jc w:val="both"/>
        <w:rPr>
          <w:rFonts w:ascii="Arial" w:hAnsi="Arial" w:cs="Arial"/>
          <w:b/>
          <w:sz w:val="24"/>
          <w:szCs w:val="24"/>
        </w:rPr>
      </w:pPr>
    </w:p>
    <w:p w14:paraId="66AD1C21" w14:textId="77777777" w:rsidR="00BB4EAE" w:rsidRDefault="00BB4EAE" w:rsidP="00BB4EAE">
      <w:pPr>
        <w:pStyle w:val="NoSpacing"/>
        <w:jc w:val="both"/>
        <w:rPr>
          <w:rFonts w:ascii="Arial" w:hAnsi="Arial" w:cs="Arial"/>
          <w:b/>
          <w:sz w:val="24"/>
          <w:szCs w:val="24"/>
        </w:rPr>
      </w:pPr>
      <w:r>
        <w:rPr>
          <w:rFonts w:ascii="Arial" w:hAnsi="Arial" w:cs="Arial"/>
          <w:b/>
          <w:sz w:val="24"/>
          <w:szCs w:val="24"/>
        </w:rPr>
        <w:t>M</w:t>
      </w:r>
      <w:r w:rsidR="007F2281">
        <w:rPr>
          <w:rFonts w:ascii="Arial" w:hAnsi="Arial" w:cs="Arial"/>
          <w:b/>
          <w:sz w:val="24"/>
          <w:szCs w:val="24"/>
        </w:rPr>
        <w:t>EMORANDUM CIRCULAR NO.: SC-2020-________</w:t>
      </w:r>
    </w:p>
    <w:p w14:paraId="1A1D0B03" w14:textId="1913FA16" w:rsidR="007F2281" w:rsidRDefault="007F2281" w:rsidP="00AB77C0">
      <w:pPr>
        <w:pStyle w:val="NoSpacing"/>
        <w:widowControl w:val="0"/>
        <w:tabs>
          <w:tab w:val="left" w:pos="1440"/>
        </w:tabs>
        <w:ind w:left="2160" w:hanging="2160"/>
        <w:jc w:val="both"/>
        <w:rPr>
          <w:rFonts w:ascii="Arial" w:hAnsi="Arial" w:cs="Arial"/>
          <w:b/>
          <w:sz w:val="24"/>
          <w:szCs w:val="24"/>
        </w:rPr>
      </w:pPr>
    </w:p>
    <w:p w14:paraId="2E6DDBA9" w14:textId="77777777" w:rsidR="00F14C42" w:rsidRDefault="00F14C42" w:rsidP="00AB77C0">
      <w:pPr>
        <w:pStyle w:val="NoSpacing"/>
        <w:widowControl w:val="0"/>
        <w:tabs>
          <w:tab w:val="left" w:pos="1440"/>
        </w:tabs>
        <w:ind w:left="2160" w:hanging="2160"/>
        <w:jc w:val="both"/>
        <w:rPr>
          <w:rFonts w:ascii="Arial" w:hAnsi="Arial" w:cs="Arial"/>
          <w:b/>
          <w:sz w:val="24"/>
          <w:szCs w:val="24"/>
        </w:rPr>
      </w:pPr>
    </w:p>
    <w:p w14:paraId="673C3094" w14:textId="77777777" w:rsidR="00CA41DC" w:rsidRDefault="00BB4EAE" w:rsidP="00F73988">
      <w:pPr>
        <w:pStyle w:val="NoSpacing"/>
        <w:widowControl w:val="0"/>
        <w:tabs>
          <w:tab w:val="left" w:pos="1440"/>
        </w:tabs>
        <w:ind w:left="1980" w:hanging="1980"/>
        <w:jc w:val="both"/>
        <w:rPr>
          <w:rFonts w:ascii="Arial" w:hAnsi="Arial" w:cs="Arial"/>
          <w:b/>
          <w:sz w:val="24"/>
          <w:szCs w:val="24"/>
        </w:rPr>
      </w:pPr>
      <w:r>
        <w:rPr>
          <w:rFonts w:ascii="Arial" w:hAnsi="Arial" w:cs="Arial"/>
          <w:b/>
          <w:sz w:val="24"/>
          <w:szCs w:val="24"/>
        </w:rPr>
        <w:t>TO</w:t>
      </w:r>
      <w:r w:rsidR="00BE6B42">
        <w:rPr>
          <w:rFonts w:ascii="Arial" w:hAnsi="Arial" w:cs="Arial"/>
          <w:b/>
          <w:sz w:val="24"/>
          <w:szCs w:val="24"/>
        </w:rPr>
        <w:tab/>
      </w:r>
      <w:r>
        <w:rPr>
          <w:rFonts w:ascii="Arial" w:hAnsi="Arial" w:cs="Arial"/>
          <w:b/>
          <w:sz w:val="24"/>
          <w:szCs w:val="24"/>
        </w:rPr>
        <w:t>:</w:t>
      </w:r>
      <w:r>
        <w:rPr>
          <w:rFonts w:ascii="Arial" w:hAnsi="Arial" w:cs="Arial"/>
          <w:b/>
          <w:sz w:val="24"/>
          <w:szCs w:val="24"/>
        </w:rPr>
        <w:tab/>
        <w:t xml:space="preserve">ALL SEAFARERS, MANNING AGENCIES, SHIPPING COMPANIES, MARITIME TRAINING INSTITUTIONS, </w:t>
      </w:r>
      <w:r w:rsidR="007D4E1C">
        <w:rPr>
          <w:rFonts w:ascii="Arial" w:hAnsi="Arial" w:cs="Arial"/>
          <w:b/>
          <w:sz w:val="24"/>
          <w:szCs w:val="24"/>
        </w:rPr>
        <w:t xml:space="preserve">ASSESSMENT CENTERS, </w:t>
      </w:r>
      <w:r>
        <w:rPr>
          <w:rFonts w:ascii="Arial" w:hAnsi="Arial" w:cs="Arial"/>
          <w:b/>
          <w:sz w:val="24"/>
          <w:szCs w:val="24"/>
        </w:rPr>
        <w:t>MARITIME HIGHER EDUCATION INSTITUTIONS AND OTHER MARITIME INDUSTRY STAKEHOLDERS CONCERNED</w:t>
      </w:r>
    </w:p>
    <w:p w14:paraId="0B208A57" w14:textId="77777777" w:rsidR="00BB4EAE" w:rsidRDefault="00BB4EAE" w:rsidP="00BB4EAE">
      <w:pPr>
        <w:pStyle w:val="NoSpacing"/>
        <w:widowControl w:val="0"/>
        <w:jc w:val="both"/>
        <w:rPr>
          <w:rFonts w:ascii="Arial" w:hAnsi="Arial" w:cs="Arial"/>
          <w:b/>
          <w:sz w:val="24"/>
          <w:szCs w:val="24"/>
        </w:rPr>
      </w:pPr>
    </w:p>
    <w:p w14:paraId="7A67E6A5" w14:textId="20D867FA" w:rsidR="00CA41DC" w:rsidRPr="005D2E95" w:rsidRDefault="00BB4EAE" w:rsidP="00910F05">
      <w:pPr>
        <w:pStyle w:val="NoSpacing"/>
        <w:widowControl w:val="0"/>
        <w:tabs>
          <w:tab w:val="left" w:pos="1440"/>
        </w:tabs>
        <w:ind w:left="1985" w:hanging="1985"/>
        <w:jc w:val="both"/>
        <w:rPr>
          <w:rFonts w:ascii="Arial" w:hAnsi="Arial" w:cs="Arial"/>
          <w:b/>
          <w:bCs/>
          <w:color w:val="FF0000"/>
          <w:sz w:val="24"/>
          <w:szCs w:val="24"/>
        </w:rPr>
      </w:pPr>
      <w:r>
        <w:rPr>
          <w:rFonts w:ascii="Arial" w:hAnsi="Arial" w:cs="Arial"/>
          <w:b/>
          <w:sz w:val="24"/>
          <w:szCs w:val="24"/>
        </w:rPr>
        <w:t>SUBJECT</w:t>
      </w:r>
      <w:r w:rsidR="00F73988">
        <w:rPr>
          <w:rFonts w:ascii="Arial" w:hAnsi="Arial" w:cs="Arial"/>
          <w:b/>
          <w:sz w:val="24"/>
          <w:szCs w:val="24"/>
        </w:rPr>
        <w:tab/>
        <w:t xml:space="preserve">:      </w:t>
      </w:r>
      <w:r w:rsidR="00AB7111">
        <w:rPr>
          <w:rFonts w:ascii="Arial" w:hAnsi="Arial" w:cs="Arial"/>
          <w:b/>
          <w:sz w:val="24"/>
          <w:szCs w:val="24"/>
        </w:rPr>
        <w:t>AMENDMENT</w:t>
      </w:r>
      <w:r>
        <w:rPr>
          <w:rFonts w:ascii="Arial" w:hAnsi="Arial" w:cs="Arial"/>
          <w:b/>
          <w:sz w:val="24"/>
          <w:szCs w:val="24"/>
        </w:rPr>
        <w:t xml:space="preserve"> TO </w:t>
      </w:r>
      <w:r w:rsidR="007D77E3">
        <w:rPr>
          <w:rFonts w:ascii="Arial" w:hAnsi="Arial" w:cs="Arial"/>
          <w:b/>
          <w:sz w:val="24"/>
          <w:szCs w:val="24"/>
        </w:rPr>
        <w:t xml:space="preserve">ARTICLE V OF </w:t>
      </w:r>
      <w:r w:rsidR="0087060C">
        <w:rPr>
          <w:rFonts w:ascii="Arial" w:hAnsi="Arial" w:cs="Arial"/>
          <w:b/>
          <w:sz w:val="24"/>
          <w:szCs w:val="24"/>
        </w:rPr>
        <w:t>STCW CIRCULAR</w:t>
      </w:r>
      <w:r w:rsidR="00AB7111">
        <w:rPr>
          <w:rFonts w:ascii="Arial" w:hAnsi="Arial" w:cs="Arial"/>
          <w:b/>
          <w:sz w:val="24"/>
          <w:szCs w:val="24"/>
        </w:rPr>
        <w:t>S NO</w:t>
      </w:r>
      <w:r w:rsidR="0087060C">
        <w:rPr>
          <w:rFonts w:ascii="Arial" w:hAnsi="Arial" w:cs="Arial"/>
          <w:b/>
          <w:sz w:val="24"/>
          <w:szCs w:val="24"/>
        </w:rPr>
        <w:t>. 2018-08 AND 2018-09</w:t>
      </w:r>
    </w:p>
    <w:p w14:paraId="7F084D3C" w14:textId="77777777" w:rsidR="00BB4EAE" w:rsidRDefault="00BB4EAE" w:rsidP="00BB4EAE">
      <w:pPr>
        <w:pStyle w:val="NoSpacing"/>
        <w:widowControl w:val="0"/>
        <w:jc w:val="both"/>
        <w:rPr>
          <w:rFonts w:ascii="Arial" w:hAnsi="Arial" w:cs="Arial"/>
          <w:b/>
          <w:sz w:val="24"/>
          <w:szCs w:val="24"/>
        </w:rPr>
      </w:pPr>
      <w:r>
        <w:rPr>
          <w:rFonts w:ascii="Arial" w:hAnsi="Arial" w:cs="Arial"/>
          <w:b/>
          <w:sz w:val="24"/>
          <w:szCs w:val="24"/>
        </w:rPr>
        <w:t>___________________________________________________________________</w:t>
      </w:r>
    </w:p>
    <w:p w14:paraId="7C87FC64" w14:textId="77777777" w:rsidR="00BB4EAE" w:rsidRPr="005D2E95" w:rsidRDefault="00BB4EAE" w:rsidP="00BB4EAE">
      <w:pPr>
        <w:pStyle w:val="NoSpacing"/>
        <w:widowControl w:val="0"/>
        <w:jc w:val="both"/>
        <w:rPr>
          <w:rFonts w:ascii="Arial" w:hAnsi="Arial" w:cs="Arial"/>
          <w:b/>
          <w:sz w:val="16"/>
          <w:szCs w:val="16"/>
        </w:rPr>
      </w:pPr>
    </w:p>
    <w:p w14:paraId="07EA8370" w14:textId="6115ED20" w:rsidR="00BB4EAE" w:rsidRPr="00E20E1C" w:rsidRDefault="00BB4EAE" w:rsidP="00BB4EAE">
      <w:pPr>
        <w:pStyle w:val="NoSpacing"/>
        <w:jc w:val="both"/>
        <w:rPr>
          <w:rFonts w:ascii="Arial" w:hAnsi="Arial" w:cs="Arial"/>
          <w:sz w:val="24"/>
          <w:szCs w:val="24"/>
        </w:rPr>
      </w:pPr>
      <w:r w:rsidRPr="00E20E1C">
        <w:rPr>
          <w:rFonts w:ascii="Arial" w:hAnsi="Arial" w:cs="Arial"/>
          <w:sz w:val="24"/>
          <w:szCs w:val="24"/>
        </w:rPr>
        <w:t xml:space="preserve">Pursuant to Presidential Decree (PD) No. 474, Republic Act </w:t>
      </w:r>
      <w:r w:rsidRPr="00E20E1C">
        <w:rPr>
          <w:rFonts w:ascii="Arial" w:hAnsi="Arial" w:cs="Arial"/>
          <w:sz w:val="24"/>
          <w:szCs w:val="24"/>
        </w:rPr>
        <w:tab/>
        <w:t>No. 10635 and its Implement</w:t>
      </w:r>
      <w:r w:rsidR="00C27CD6">
        <w:rPr>
          <w:rFonts w:ascii="Arial" w:hAnsi="Arial" w:cs="Arial"/>
          <w:sz w:val="24"/>
          <w:szCs w:val="24"/>
        </w:rPr>
        <w:t>ing Rules and Regulations (IRR),</w:t>
      </w:r>
      <w:r w:rsidR="0087060C">
        <w:rPr>
          <w:rFonts w:ascii="Arial" w:hAnsi="Arial" w:cs="Arial"/>
          <w:sz w:val="24"/>
          <w:szCs w:val="24"/>
        </w:rPr>
        <w:t xml:space="preserve"> and</w:t>
      </w:r>
      <w:r w:rsidR="00C27CD6">
        <w:rPr>
          <w:rFonts w:ascii="Arial" w:hAnsi="Arial" w:cs="Arial"/>
          <w:sz w:val="24"/>
          <w:szCs w:val="24"/>
        </w:rPr>
        <w:t xml:space="preserve"> </w:t>
      </w:r>
      <w:r w:rsidRPr="00E20E1C">
        <w:rPr>
          <w:rFonts w:ascii="Arial" w:hAnsi="Arial" w:cs="Arial"/>
          <w:sz w:val="24"/>
          <w:szCs w:val="24"/>
        </w:rPr>
        <w:t>the International Convention on Standards of Training, Certification and Watchkeeping f</w:t>
      </w:r>
      <w:r w:rsidR="00F73988">
        <w:rPr>
          <w:rFonts w:ascii="Arial" w:hAnsi="Arial" w:cs="Arial"/>
          <w:sz w:val="24"/>
          <w:szCs w:val="24"/>
        </w:rPr>
        <w:t>or Seafarers, 1978, as amended</w:t>
      </w:r>
      <w:r w:rsidR="0087060C">
        <w:rPr>
          <w:rFonts w:ascii="Arial" w:hAnsi="Arial" w:cs="Arial"/>
          <w:sz w:val="24"/>
          <w:szCs w:val="24"/>
        </w:rPr>
        <w:t>,</w:t>
      </w:r>
      <w:r w:rsidR="00F73988">
        <w:rPr>
          <w:rFonts w:ascii="Arial" w:hAnsi="Arial" w:cs="Arial"/>
          <w:sz w:val="24"/>
          <w:szCs w:val="24"/>
        </w:rPr>
        <w:t xml:space="preserve"> </w:t>
      </w:r>
      <w:r w:rsidRPr="00E20E1C">
        <w:rPr>
          <w:rFonts w:ascii="Arial" w:hAnsi="Arial" w:cs="Arial"/>
          <w:sz w:val="24"/>
          <w:szCs w:val="24"/>
        </w:rPr>
        <w:t xml:space="preserve">the herein </w:t>
      </w:r>
      <w:r w:rsidR="0087060C">
        <w:rPr>
          <w:rFonts w:ascii="Arial" w:hAnsi="Arial" w:cs="Arial"/>
          <w:sz w:val="24"/>
          <w:szCs w:val="24"/>
        </w:rPr>
        <w:t>addendum to STCW Circulars No. 2018-08 and 2018-09</w:t>
      </w:r>
      <w:r w:rsidRPr="00E20E1C">
        <w:rPr>
          <w:rFonts w:ascii="Arial" w:hAnsi="Arial" w:cs="Arial"/>
          <w:sz w:val="24"/>
          <w:szCs w:val="24"/>
        </w:rPr>
        <w:t xml:space="preserve"> are hereby </w:t>
      </w:r>
      <w:r w:rsidR="00B84175">
        <w:rPr>
          <w:rFonts w:ascii="Arial" w:hAnsi="Arial" w:cs="Arial"/>
          <w:sz w:val="24"/>
          <w:szCs w:val="24"/>
        </w:rPr>
        <w:t>promulgated and adopted</w:t>
      </w:r>
      <w:r w:rsidRPr="00E20E1C">
        <w:rPr>
          <w:rFonts w:ascii="Arial" w:hAnsi="Arial" w:cs="Arial"/>
          <w:sz w:val="24"/>
          <w:szCs w:val="24"/>
        </w:rPr>
        <w:t>:</w:t>
      </w:r>
    </w:p>
    <w:p w14:paraId="4AC123F2" w14:textId="77777777" w:rsidR="00BB4EAE" w:rsidRPr="005D2E95" w:rsidRDefault="00BB4EAE" w:rsidP="00BB4EAE">
      <w:pPr>
        <w:pStyle w:val="NoSpacing"/>
        <w:jc w:val="both"/>
        <w:rPr>
          <w:rFonts w:ascii="Arial" w:hAnsi="Arial" w:cs="Arial"/>
          <w:sz w:val="16"/>
          <w:szCs w:val="16"/>
        </w:rPr>
      </w:pPr>
    </w:p>
    <w:p w14:paraId="6E8CE6F5" w14:textId="77777777" w:rsidR="00BB4EAE" w:rsidRDefault="00BB4EAE" w:rsidP="00BB4EAE">
      <w:pPr>
        <w:pStyle w:val="NoSpacing"/>
        <w:jc w:val="both"/>
        <w:rPr>
          <w:rFonts w:ascii="Arial" w:hAnsi="Arial" w:cs="Arial"/>
          <w:sz w:val="24"/>
          <w:szCs w:val="24"/>
        </w:rPr>
      </w:pPr>
    </w:p>
    <w:p w14:paraId="29ADD23A" w14:textId="0185306A" w:rsidR="007F7468" w:rsidRPr="009B3B2D" w:rsidRDefault="007F7468" w:rsidP="007F7468">
      <w:pPr>
        <w:pStyle w:val="NoSpacing"/>
        <w:jc w:val="center"/>
        <w:rPr>
          <w:rFonts w:ascii="Arial" w:hAnsi="Arial" w:cs="Arial"/>
          <w:b/>
          <w:sz w:val="28"/>
          <w:szCs w:val="24"/>
        </w:rPr>
      </w:pPr>
      <w:r>
        <w:rPr>
          <w:rFonts w:ascii="Arial" w:hAnsi="Arial" w:cs="Arial"/>
          <w:b/>
          <w:sz w:val="28"/>
          <w:szCs w:val="24"/>
        </w:rPr>
        <w:t>Article I</w:t>
      </w:r>
    </w:p>
    <w:p w14:paraId="4C18276D" w14:textId="6A61BC19" w:rsidR="007F7468" w:rsidRDefault="007F7468" w:rsidP="007F7468">
      <w:pPr>
        <w:pStyle w:val="NoSpacing"/>
        <w:jc w:val="center"/>
        <w:rPr>
          <w:rFonts w:ascii="Arial" w:hAnsi="Arial" w:cs="Arial"/>
          <w:b/>
          <w:sz w:val="24"/>
          <w:szCs w:val="24"/>
        </w:rPr>
      </w:pPr>
      <w:r>
        <w:rPr>
          <w:rFonts w:ascii="Arial" w:hAnsi="Arial" w:cs="Arial"/>
          <w:b/>
          <w:sz w:val="24"/>
          <w:szCs w:val="24"/>
        </w:rPr>
        <w:t>OBJECTIVE</w:t>
      </w:r>
    </w:p>
    <w:p w14:paraId="4279ECF0" w14:textId="77777777" w:rsidR="007F7468" w:rsidRDefault="007F7468" w:rsidP="007F7468">
      <w:pPr>
        <w:pStyle w:val="NoSpacing"/>
        <w:jc w:val="center"/>
        <w:rPr>
          <w:rFonts w:ascii="Arial" w:hAnsi="Arial" w:cs="Arial"/>
          <w:b/>
          <w:sz w:val="24"/>
          <w:szCs w:val="24"/>
        </w:rPr>
      </w:pPr>
    </w:p>
    <w:p w14:paraId="2F805FFD" w14:textId="7F545AA5" w:rsidR="007F7468" w:rsidRPr="002D27CC" w:rsidRDefault="007F7468" w:rsidP="007F7468">
      <w:pPr>
        <w:pStyle w:val="NoSpacing"/>
        <w:jc w:val="both"/>
        <w:rPr>
          <w:rFonts w:ascii="Arial" w:hAnsi="Arial" w:cs="Arial"/>
          <w:sz w:val="24"/>
          <w:szCs w:val="24"/>
        </w:rPr>
      </w:pPr>
      <w:r w:rsidRPr="002D27CC">
        <w:rPr>
          <w:rFonts w:ascii="Arial" w:hAnsi="Arial" w:cs="Arial"/>
          <w:b/>
          <w:sz w:val="24"/>
          <w:szCs w:val="24"/>
        </w:rPr>
        <w:t xml:space="preserve">Section 1. </w:t>
      </w:r>
      <w:r w:rsidRPr="002D27CC">
        <w:rPr>
          <w:rFonts w:ascii="Arial" w:hAnsi="Arial" w:cs="Arial"/>
          <w:sz w:val="24"/>
          <w:szCs w:val="24"/>
        </w:rPr>
        <w:t>The objective of this Circular is to amend</w:t>
      </w:r>
      <w:r w:rsidR="00CF2B6C">
        <w:rPr>
          <w:rFonts w:ascii="Arial" w:hAnsi="Arial" w:cs="Arial"/>
          <w:sz w:val="24"/>
          <w:szCs w:val="24"/>
        </w:rPr>
        <w:t xml:space="preserve"> relevant sections of</w:t>
      </w:r>
      <w:r w:rsidRPr="002D27CC">
        <w:rPr>
          <w:rFonts w:ascii="Arial" w:hAnsi="Arial" w:cs="Arial"/>
          <w:sz w:val="24"/>
          <w:szCs w:val="24"/>
        </w:rPr>
        <w:t xml:space="preserve"> </w:t>
      </w:r>
      <w:r w:rsidR="002D27CC" w:rsidRPr="002D27CC">
        <w:rPr>
          <w:rFonts w:ascii="Arial" w:hAnsi="Arial" w:cs="Arial"/>
          <w:sz w:val="24"/>
          <w:szCs w:val="24"/>
        </w:rPr>
        <w:t xml:space="preserve">Article V – Specific Provisions of </w:t>
      </w:r>
      <w:r w:rsidR="00CF2B6C">
        <w:rPr>
          <w:rFonts w:ascii="Arial" w:hAnsi="Arial" w:cs="Arial"/>
          <w:sz w:val="24"/>
          <w:szCs w:val="24"/>
        </w:rPr>
        <w:t xml:space="preserve">the </w:t>
      </w:r>
      <w:r w:rsidR="002D27CC" w:rsidRPr="002D27CC">
        <w:rPr>
          <w:rFonts w:ascii="Arial" w:hAnsi="Arial" w:cs="Arial"/>
          <w:sz w:val="24"/>
          <w:szCs w:val="24"/>
        </w:rPr>
        <w:t>STCW Circulars No. 2018-08 and 2018-09 relative to the revised rules and mandatory minimum requirements in the assessment of competence under the relevant provisions of the following Chapters of STCW Convention, 1978, as amended:</w:t>
      </w:r>
    </w:p>
    <w:p w14:paraId="434C7E3E" w14:textId="1A8F07C7" w:rsidR="002D27CC" w:rsidRPr="002D27CC" w:rsidRDefault="002D27CC" w:rsidP="007F7468">
      <w:pPr>
        <w:pStyle w:val="NoSpacing"/>
        <w:jc w:val="both"/>
        <w:rPr>
          <w:rFonts w:ascii="Arial" w:hAnsi="Arial" w:cs="Arial"/>
          <w:sz w:val="24"/>
          <w:szCs w:val="24"/>
        </w:rPr>
      </w:pPr>
    </w:p>
    <w:p w14:paraId="7C2A242C" w14:textId="7F70C184" w:rsidR="002D27CC" w:rsidRPr="002D27CC" w:rsidRDefault="002D27CC" w:rsidP="002D27CC">
      <w:pPr>
        <w:pStyle w:val="NoSpacing"/>
        <w:numPr>
          <w:ilvl w:val="0"/>
          <w:numId w:val="1"/>
        </w:numPr>
        <w:jc w:val="both"/>
        <w:rPr>
          <w:rFonts w:ascii="Arial" w:hAnsi="Arial" w:cs="Arial"/>
          <w:sz w:val="24"/>
          <w:szCs w:val="24"/>
        </w:rPr>
      </w:pPr>
      <w:r w:rsidRPr="002D27CC">
        <w:rPr>
          <w:rFonts w:ascii="Arial" w:hAnsi="Arial" w:cs="Arial"/>
          <w:sz w:val="24"/>
          <w:szCs w:val="24"/>
        </w:rPr>
        <w:t>Chapter II – Master and Deck Department;</w:t>
      </w:r>
    </w:p>
    <w:p w14:paraId="4171CD91" w14:textId="645A734F" w:rsidR="002D27CC" w:rsidRPr="002D27CC" w:rsidRDefault="002D27CC" w:rsidP="002D27CC">
      <w:pPr>
        <w:pStyle w:val="NoSpacing"/>
        <w:numPr>
          <w:ilvl w:val="0"/>
          <w:numId w:val="1"/>
        </w:numPr>
        <w:jc w:val="both"/>
        <w:rPr>
          <w:rFonts w:ascii="Arial" w:hAnsi="Arial" w:cs="Arial"/>
          <w:sz w:val="24"/>
          <w:szCs w:val="24"/>
        </w:rPr>
      </w:pPr>
      <w:r w:rsidRPr="002D27CC">
        <w:rPr>
          <w:rFonts w:ascii="Arial" w:hAnsi="Arial" w:cs="Arial"/>
          <w:sz w:val="24"/>
          <w:szCs w:val="24"/>
        </w:rPr>
        <w:t>Chapter III – Engine Department; and</w:t>
      </w:r>
    </w:p>
    <w:p w14:paraId="7D068F36" w14:textId="483AA0F2" w:rsidR="002D27CC" w:rsidRPr="002D27CC" w:rsidRDefault="002D27CC" w:rsidP="002D27CC">
      <w:pPr>
        <w:pStyle w:val="NoSpacing"/>
        <w:numPr>
          <w:ilvl w:val="0"/>
          <w:numId w:val="1"/>
        </w:numPr>
        <w:jc w:val="both"/>
        <w:rPr>
          <w:rFonts w:ascii="Arial" w:hAnsi="Arial" w:cs="Arial"/>
          <w:sz w:val="24"/>
          <w:szCs w:val="24"/>
        </w:rPr>
      </w:pPr>
      <w:r w:rsidRPr="002D27CC">
        <w:rPr>
          <w:rFonts w:ascii="Arial" w:hAnsi="Arial" w:cs="Arial"/>
          <w:sz w:val="24"/>
          <w:szCs w:val="24"/>
        </w:rPr>
        <w:t>Chapter IIV – GMDSS Radio Operators.</w:t>
      </w:r>
    </w:p>
    <w:p w14:paraId="40BA6374" w14:textId="59B28FA7" w:rsidR="007F7468" w:rsidRPr="002D27CC" w:rsidRDefault="007F7468" w:rsidP="00BB4EAE">
      <w:pPr>
        <w:pStyle w:val="NoSpacing"/>
        <w:jc w:val="center"/>
        <w:rPr>
          <w:rFonts w:ascii="Arial" w:hAnsi="Arial" w:cs="Arial"/>
          <w:sz w:val="24"/>
          <w:szCs w:val="24"/>
        </w:rPr>
      </w:pPr>
    </w:p>
    <w:p w14:paraId="19A44DAD" w14:textId="77777777" w:rsidR="007F7468" w:rsidRDefault="007F7468" w:rsidP="00BB4EAE">
      <w:pPr>
        <w:pStyle w:val="NoSpacing"/>
        <w:jc w:val="center"/>
        <w:rPr>
          <w:rFonts w:ascii="Arial" w:hAnsi="Arial" w:cs="Arial"/>
          <w:b/>
          <w:sz w:val="28"/>
          <w:szCs w:val="24"/>
        </w:rPr>
      </w:pPr>
    </w:p>
    <w:p w14:paraId="2E85425C" w14:textId="3FEB4B73" w:rsidR="00BB4EAE" w:rsidRPr="009B3B2D" w:rsidRDefault="00BB4EAE" w:rsidP="00BB4EAE">
      <w:pPr>
        <w:pStyle w:val="NoSpacing"/>
        <w:jc w:val="center"/>
        <w:rPr>
          <w:rFonts w:ascii="Arial" w:hAnsi="Arial" w:cs="Arial"/>
          <w:b/>
          <w:sz w:val="28"/>
          <w:szCs w:val="24"/>
        </w:rPr>
      </w:pPr>
      <w:r w:rsidRPr="009B3B2D">
        <w:rPr>
          <w:rFonts w:ascii="Arial" w:hAnsi="Arial" w:cs="Arial"/>
          <w:b/>
          <w:sz w:val="28"/>
          <w:szCs w:val="24"/>
        </w:rPr>
        <w:t>Article II</w:t>
      </w:r>
    </w:p>
    <w:p w14:paraId="494F98EA" w14:textId="33F68093" w:rsidR="00EB0BD9" w:rsidRPr="00BE6B42" w:rsidRDefault="002D27CC" w:rsidP="00BB4EAE">
      <w:pPr>
        <w:pStyle w:val="NoSpacing"/>
        <w:jc w:val="center"/>
        <w:rPr>
          <w:rFonts w:ascii="Arial" w:hAnsi="Arial" w:cs="Arial"/>
          <w:b/>
          <w:sz w:val="24"/>
          <w:szCs w:val="24"/>
        </w:rPr>
      </w:pPr>
      <w:r>
        <w:rPr>
          <w:rFonts w:ascii="Arial" w:hAnsi="Arial" w:cs="Arial"/>
          <w:b/>
          <w:sz w:val="24"/>
          <w:szCs w:val="24"/>
        </w:rPr>
        <w:t>AMENDMENT TO ARTICLE V</w:t>
      </w:r>
      <w:r w:rsidR="00CB16A3" w:rsidRPr="00AB77C0">
        <w:rPr>
          <w:rFonts w:ascii="Arial" w:hAnsi="Arial" w:cs="Arial"/>
          <w:b/>
          <w:sz w:val="24"/>
          <w:szCs w:val="24"/>
        </w:rPr>
        <w:t xml:space="preserve"> – </w:t>
      </w:r>
      <w:r>
        <w:rPr>
          <w:rFonts w:ascii="Arial" w:hAnsi="Arial" w:cs="Arial"/>
          <w:b/>
          <w:sz w:val="24"/>
          <w:szCs w:val="24"/>
        </w:rPr>
        <w:t>SPECIFIC PROVISIONS OF STCW CIRCULARS NO</w:t>
      </w:r>
      <w:r w:rsidR="00CB16A3" w:rsidRPr="00AB77C0">
        <w:rPr>
          <w:rFonts w:ascii="Arial" w:hAnsi="Arial" w:cs="Arial"/>
          <w:b/>
          <w:sz w:val="24"/>
          <w:szCs w:val="24"/>
        </w:rPr>
        <w:t>. 2018-08 AND 2018-09</w:t>
      </w:r>
    </w:p>
    <w:p w14:paraId="0DAA2C84" w14:textId="77777777" w:rsidR="00BB4EAE" w:rsidRDefault="00BB4EAE" w:rsidP="00BB4EAE">
      <w:pPr>
        <w:pStyle w:val="NoSpacing"/>
        <w:jc w:val="center"/>
        <w:rPr>
          <w:rFonts w:ascii="Arial" w:hAnsi="Arial" w:cs="Arial"/>
          <w:b/>
          <w:sz w:val="24"/>
          <w:szCs w:val="24"/>
        </w:rPr>
      </w:pPr>
    </w:p>
    <w:p w14:paraId="547A7FD2" w14:textId="70CADEA8" w:rsidR="00BB4EAE" w:rsidRDefault="003308CE" w:rsidP="00CF2B6C">
      <w:pPr>
        <w:pStyle w:val="NoSpacing"/>
        <w:jc w:val="both"/>
        <w:rPr>
          <w:rFonts w:ascii="Arial" w:hAnsi="Arial" w:cs="Arial"/>
          <w:sz w:val="24"/>
          <w:szCs w:val="24"/>
        </w:rPr>
      </w:pPr>
      <w:r>
        <w:rPr>
          <w:rFonts w:ascii="Arial" w:hAnsi="Arial" w:cs="Arial"/>
          <w:b/>
          <w:sz w:val="24"/>
          <w:szCs w:val="24"/>
        </w:rPr>
        <w:t>Section 2</w:t>
      </w:r>
      <w:r w:rsidR="00BB4EAE">
        <w:rPr>
          <w:rFonts w:ascii="Arial" w:hAnsi="Arial" w:cs="Arial"/>
          <w:b/>
          <w:sz w:val="24"/>
          <w:szCs w:val="24"/>
        </w:rPr>
        <w:t xml:space="preserve">.  </w:t>
      </w:r>
      <w:r w:rsidR="00BB4EAE" w:rsidRPr="005B4C89">
        <w:rPr>
          <w:rFonts w:ascii="Arial" w:hAnsi="Arial" w:cs="Arial"/>
          <w:sz w:val="24"/>
          <w:szCs w:val="24"/>
        </w:rPr>
        <w:t>The provision</w:t>
      </w:r>
      <w:r w:rsidR="00BB4EAE">
        <w:rPr>
          <w:rFonts w:ascii="Arial" w:hAnsi="Arial" w:cs="Arial"/>
          <w:sz w:val="24"/>
          <w:szCs w:val="24"/>
        </w:rPr>
        <w:t>s</w:t>
      </w:r>
      <w:r w:rsidR="00BB4EAE" w:rsidRPr="005B4C89">
        <w:rPr>
          <w:rFonts w:ascii="Arial" w:hAnsi="Arial" w:cs="Arial"/>
          <w:sz w:val="24"/>
          <w:szCs w:val="24"/>
        </w:rPr>
        <w:t xml:space="preserve"> under</w:t>
      </w:r>
      <w:r w:rsidR="002D27CC">
        <w:rPr>
          <w:rFonts w:ascii="Arial" w:hAnsi="Arial" w:cs="Arial"/>
          <w:b/>
          <w:sz w:val="24"/>
          <w:szCs w:val="24"/>
        </w:rPr>
        <w:t xml:space="preserve"> Section 14(c)iv and v, Section 15(c)iv and v, and </w:t>
      </w:r>
      <w:r w:rsidR="00544281">
        <w:rPr>
          <w:rFonts w:ascii="Arial" w:hAnsi="Arial" w:cs="Arial"/>
          <w:b/>
          <w:sz w:val="24"/>
          <w:szCs w:val="24"/>
        </w:rPr>
        <w:t xml:space="preserve">Section </w:t>
      </w:r>
      <w:r w:rsidR="002D27CC">
        <w:rPr>
          <w:rFonts w:ascii="Arial" w:hAnsi="Arial" w:cs="Arial"/>
          <w:b/>
          <w:sz w:val="24"/>
          <w:szCs w:val="24"/>
        </w:rPr>
        <w:t xml:space="preserve">16 </w:t>
      </w:r>
      <w:r w:rsidR="00BB4EAE">
        <w:rPr>
          <w:rFonts w:ascii="Arial" w:hAnsi="Arial" w:cs="Arial"/>
          <w:b/>
          <w:sz w:val="24"/>
          <w:szCs w:val="24"/>
        </w:rPr>
        <w:t xml:space="preserve">of the STCW Circular No. 2018-08 </w:t>
      </w:r>
      <w:r w:rsidR="00BB4EAE" w:rsidRPr="005B4C89">
        <w:rPr>
          <w:rFonts w:ascii="Arial" w:hAnsi="Arial" w:cs="Arial"/>
          <w:sz w:val="24"/>
          <w:szCs w:val="24"/>
        </w:rPr>
        <w:t>are</w:t>
      </w:r>
      <w:r w:rsidR="00BB4EAE">
        <w:rPr>
          <w:rFonts w:ascii="Arial" w:hAnsi="Arial" w:cs="Arial"/>
          <w:sz w:val="24"/>
          <w:szCs w:val="24"/>
        </w:rPr>
        <w:t xml:space="preserve"> hereby amended to read </w:t>
      </w:r>
      <w:r w:rsidR="00BB4EAE" w:rsidRPr="005B4C89">
        <w:rPr>
          <w:rFonts w:ascii="Arial" w:hAnsi="Arial" w:cs="Arial"/>
          <w:sz w:val="24"/>
          <w:szCs w:val="24"/>
        </w:rPr>
        <w:t>as follows:</w:t>
      </w:r>
    </w:p>
    <w:p w14:paraId="52A10FCE" w14:textId="488E1355" w:rsidR="00AF2548" w:rsidRDefault="00AF2548" w:rsidP="00CF2B6C">
      <w:pPr>
        <w:pStyle w:val="NoSpacing"/>
        <w:jc w:val="both"/>
        <w:rPr>
          <w:rFonts w:ascii="Arial" w:hAnsi="Arial" w:cs="Arial"/>
          <w:sz w:val="24"/>
          <w:szCs w:val="24"/>
        </w:rPr>
      </w:pPr>
    </w:p>
    <w:p w14:paraId="7A867A25" w14:textId="77777777" w:rsidR="00BB4EAE" w:rsidRPr="005D2E95" w:rsidRDefault="00BB4EAE" w:rsidP="00BB4EAE">
      <w:pPr>
        <w:pStyle w:val="NoSpacing"/>
        <w:rPr>
          <w:rFonts w:ascii="Arial" w:hAnsi="Arial" w:cs="Arial"/>
          <w:sz w:val="16"/>
          <w:szCs w:val="16"/>
        </w:rPr>
      </w:pPr>
    </w:p>
    <w:p w14:paraId="1408DC00" w14:textId="70823BD8" w:rsidR="00BB4EAE" w:rsidRPr="00471171" w:rsidRDefault="00BB4EAE" w:rsidP="004D73D6">
      <w:pPr>
        <w:pStyle w:val="NoSpacing"/>
        <w:ind w:left="540" w:right="474"/>
        <w:jc w:val="both"/>
        <w:rPr>
          <w:rFonts w:ascii="Arial" w:hAnsi="Arial" w:cs="Arial"/>
          <w:sz w:val="24"/>
          <w:szCs w:val="24"/>
        </w:rPr>
      </w:pPr>
      <w:r>
        <w:rPr>
          <w:rFonts w:ascii="Arial" w:hAnsi="Arial" w:cs="Arial"/>
          <w:sz w:val="24"/>
          <w:szCs w:val="24"/>
        </w:rPr>
        <w:t>“</w:t>
      </w:r>
      <w:r w:rsidR="002D27CC">
        <w:rPr>
          <w:rFonts w:ascii="Arial" w:hAnsi="Arial" w:cs="Arial"/>
          <w:b/>
          <w:sz w:val="24"/>
          <w:szCs w:val="24"/>
        </w:rPr>
        <w:t>Section 14</w:t>
      </w:r>
      <w:r>
        <w:rPr>
          <w:rFonts w:ascii="Arial" w:hAnsi="Arial" w:cs="Arial"/>
          <w:sz w:val="24"/>
          <w:szCs w:val="24"/>
        </w:rPr>
        <w:t xml:space="preserve">. </w:t>
      </w:r>
      <w:r w:rsidR="009B3B2D">
        <w:rPr>
          <w:rFonts w:ascii="Arial" w:hAnsi="Arial" w:cs="Arial"/>
          <w:sz w:val="24"/>
          <w:szCs w:val="24"/>
        </w:rPr>
        <w:t xml:space="preserve"> </w:t>
      </w:r>
      <w:r w:rsidR="00C95C4C" w:rsidRPr="00471171">
        <w:rPr>
          <w:rFonts w:ascii="Arial" w:hAnsi="Arial" w:cs="Arial"/>
          <w:sz w:val="24"/>
          <w:szCs w:val="24"/>
        </w:rPr>
        <w:t>For purposes of the theoretical examination, the following rules shall apply:</w:t>
      </w:r>
    </w:p>
    <w:p w14:paraId="3FF9B999" w14:textId="77777777" w:rsidR="00932F1E" w:rsidRPr="00EB0BD9" w:rsidRDefault="00932F1E" w:rsidP="00F14C42">
      <w:pPr>
        <w:pStyle w:val="NoSpacing"/>
        <w:ind w:left="540" w:right="474"/>
        <w:jc w:val="both"/>
        <w:rPr>
          <w:rFonts w:ascii="Arial" w:hAnsi="Arial" w:cs="Arial"/>
          <w:sz w:val="24"/>
          <w:szCs w:val="24"/>
        </w:rPr>
      </w:pPr>
    </w:p>
    <w:p w14:paraId="4BE83236" w14:textId="2820CBB2" w:rsidR="00740D10" w:rsidRDefault="00740D10" w:rsidP="00471171">
      <w:pPr>
        <w:pStyle w:val="NoSpacing"/>
        <w:numPr>
          <w:ilvl w:val="0"/>
          <w:numId w:val="16"/>
        </w:numPr>
        <w:ind w:left="1080" w:right="474"/>
        <w:jc w:val="both"/>
        <w:rPr>
          <w:rFonts w:ascii="Arial" w:hAnsi="Arial" w:cs="Arial"/>
          <w:sz w:val="24"/>
          <w:szCs w:val="24"/>
        </w:rPr>
      </w:pPr>
      <w:r>
        <w:rPr>
          <w:rFonts w:ascii="Arial" w:hAnsi="Arial" w:cs="Arial"/>
          <w:sz w:val="24"/>
          <w:szCs w:val="24"/>
        </w:rPr>
        <w:t>xxx</w:t>
      </w:r>
    </w:p>
    <w:p w14:paraId="0D332CDB" w14:textId="77777777" w:rsidR="007D77E3" w:rsidRDefault="007D77E3" w:rsidP="007D77E3">
      <w:pPr>
        <w:pStyle w:val="NoSpacing"/>
        <w:ind w:left="1260" w:right="474"/>
        <w:jc w:val="both"/>
        <w:rPr>
          <w:rFonts w:ascii="Arial" w:hAnsi="Arial" w:cs="Arial"/>
          <w:sz w:val="24"/>
          <w:szCs w:val="24"/>
        </w:rPr>
      </w:pPr>
    </w:p>
    <w:p w14:paraId="40586A80" w14:textId="77777777" w:rsidR="00932F1E" w:rsidRDefault="00932F1E" w:rsidP="00932F1E">
      <w:pPr>
        <w:pStyle w:val="NoSpacing"/>
        <w:ind w:left="1980" w:right="474"/>
        <w:jc w:val="both"/>
        <w:rPr>
          <w:rFonts w:ascii="Arial" w:hAnsi="Arial" w:cs="Arial"/>
          <w:sz w:val="24"/>
          <w:szCs w:val="24"/>
        </w:rPr>
      </w:pPr>
    </w:p>
    <w:p w14:paraId="0B2CBA40" w14:textId="5B0A7685" w:rsidR="00740D10" w:rsidRDefault="00740D10" w:rsidP="00826BC8">
      <w:pPr>
        <w:pStyle w:val="NoSpacing"/>
        <w:numPr>
          <w:ilvl w:val="0"/>
          <w:numId w:val="17"/>
        </w:numPr>
        <w:ind w:left="1800" w:right="474"/>
        <w:jc w:val="both"/>
        <w:rPr>
          <w:rFonts w:ascii="Arial" w:hAnsi="Arial" w:cs="Arial"/>
          <w:sz w:val="24"/>
          <w:szCs w:val="24"/>
        </w:rPr>
      </w:pPr>
      <w:r>
        <w:rPr>
          <w:rFonts w:ascii="Arial" w:hAnsi="Arial" w:cs="Arial"/>
          <w:sz w:val="24"/>
          <w:szCs w:val="24"/>
        </w:rPr>
        <w:t>xxx</w:t>
      </w:r>
    </w:p>
    <w:p w14:paraId="3B71B704" w14:textId="77777777" w:rsidR="00932F1E" w:rsidRDefault="00932F1E" w:rsidP="00826BC8">
      <w:pPr>
        <w:pStyle w:val="NoSpacing"/>
        <w:ind w:left="1800" w:right="474"/>
        <w:jc w:val="both"/>
        <w:rPr>
          <w:rFonts w:ascii="Arial" w:hAnsi="Arial" w:cs="Arial"/>
          <w:sz w:val="24"/>
          <w:szCs w:val="24"/>
        </w:rPr>
      </w:pPr>
    </w:p>
    <w:p w14:paraId="0FA5D1AE" w14:textId="493129EB" w:rsidR="00932F1E" w:rsidRDefault="00932F1E" w:rsidP="00826BC8">
      <w:pPr>
        <w:pStyle w:val="NoSpacing"/>
        <w:numPr>
          <w:ilvl w:val="0"/>
          <w:numId w:val="17"/>
        </w:numPr>
        <w:ind w:left="1800" w:right="474"/>
        <w:jc w:val="both"/>
        <w:rPr>
          <w:rFonts w:ascii="Arial" w:hAnsi="Arial" w:cs="Arial"/>
          <w:sz w:val="24"/>
          <w:szCs w:val="24"/>
        </w:rPr>
      </w:pPr>
      <w:r>
        <w:rPr>
          <w:rFonts w:ascii="Arial" w:hAnsi="Arial" w:cs="Arial"/>
          <w:sz w:val="24"/>
          <w:szCs w:val="24"/>
        </w:rPr>
        <w:t xml:space="preserve">A candidate who fails the removal assessment or was not able to take the said examination within the prescribed period shall only be allowed to retake the whole theoretical examination upon showing proof of the requirement under Section </w:t>
      </w:r>
      <w:r w:rsidRPr="00826BC8">
        <w:rPr>
          <w:rFonts w:ascii="Arial" w:hAnsi="Arial" w:cs="Arial"/>
          <w:sz w:val="24"/>
          <w:szCs w:val="24"/>
        </w:rPr>
        <w:t>16</w:t>
      </w:r>
      <w:r w:rsidR="00C95C4C" w:rsidRPr="00826BC8">
        <w:rPr>
          <w:rFonts w:ascii="Arial" w:hAnsi="Arial" w:cs="Arial"/>
          <w:sz w:val="24"/>
          <w:szCs w:val="24"/>
        </w:rPr>
        <w:t xml:space="preserve"> </w:t>
      </w:r>
      <w:r w:rsidR="00C95C4C" w:rsidRPr="00471171">
        <w:rPr>
          <w:rFonts w:ascii="Arial" w:hAnsi="Arial" w:cs="Arial"/>
          <w:sz w:val="24"/>
          <w:szCs w:val="24"/>
        </w:rPr>
        <w:t>below</w:t>
      </w:r>
      <w:r w:rsidRPr="00826BC8">
        <w:rPr>
          <w:rFonts w:ascii="Arial" w:hAnsi="Arial" w:cs="Arial"/>
          <w:sz w:val="24"/>
          <w:szCs w:val="24"/>
        </w:rPr>
        <w:t>.</w:t>
      </w:r>
    </w:p>
    <w:p w14:paraId="2BEDE500" w14:textId="77777777" w:rsidR="00932F1E" w:rsidRDefault="00932F1E" w:rsidP="00826BC8">
      <w:pPr>
        <w:pStyle w:val="NoSpacing"/>
        <w:ind w:left="1800" w:right="474"/>
        <w:jc w:val="both"/>
        <w:rPr>
          <w:rFonts w:ascii="Arial" w:hAnsi="Arial" w:cs="Arial"/>
          <w:sz w:val="24"/>
          <w:szCs w:val="24"/>
        </w:rPr>
      </w:pPr>
    </w:p>
    <w:p w14:paraId="30D706BB" w14:textId="2513303C" w:rsidR="00932F1E" w:rsidRDefault="00932F1E" w:rsidP="00826BC8">
      <w:pPr>
        <w:pStyle w:val="NoSpacing"/>
        <w:numPr>
          <w:ilvl w:val="0"/>
          <w:numId w:val="17"/>
        </w:numPr>
        <w:ind w:left="1800" w:right="474"/>
        <w:jc w:val="both"/>
        <w:rPr>
          <w:rFonts w:ascii="Arial" w:hAnsi="Arial" w:cs="Arial"/>
          <w:sz w:val="24"/>
          <w:szCs w:val="24"/>
        </w:rPr>
      </w:pPr>
      <w:r>
        <w:rPr>
          <w:rFonts w:ascii="Arial" w:hAnsi="Arial" w:cs="Arial"/>
          <w:sz w:val="24"/>
          <w:szCs w:val="24"/>
        </w:rPr>
        <w:t xml:space="preserve">A candidate who fails the retake shall only be allowed to take the </w:t>
      </w:r>
      <w:r w:rsidR="00F5310E">
        <w:rPr>
          <w:rFonts w:ascii="Arial" w:hAnsi="Arial" w:cs="Arial"/>
          <w:sz w:val="24"/>
          <w:szCs w:val="24"/>
        </w:rPr>
        <w:t>practical assessment</w:t>
      </w:r>
      <w:r>
        <w:rPr>
          <w:rFonts w:ascii="Arial" w:hAnsi="Arial" w:cs="Arial"/>
          <w:sz w:val="24"/>
          <w:szCs w:val="24"/>
        </w:rPr>
        <w:t xml:space="preserve"> again upon showing proof of the requirement under Section 16</w:t>
      </w:r>
      <w:r w:rsidR="000B5CC0">
        <w:rPr>
          <w:rFonts w:ascii="Arial" w:hAnsi="Arial" w:cs="Arial"/>
          <w:sz w:val="24"/>
          <w:szCs w:val="24"/>
        </w:rPr>
        <w:t xml:space="preserve"> which shall be taken before each retake</w:t>
      </w:r>
      <w:r>
        <w:rPr>
          <w:rFonts w:ascii="Arial" w:hAnsi="Arial" w:cs="Arial"/>
          <w:sz w:val="24"/>
          <w:szCs w:val="24"/>
        </w:rPr>
        <w:t>.</w:t>
      </w:r>
    </w:p>
    <w:p w14:paraId="778DE8BB" w14:textId="05F81097" w:rsidR="00932F1E" w:rsidRDefault="00932F1E" w:rsidP="00932F1E">
      <w:pPr>
        <w:pStyle w:val="NoSpacing"/>
        <w:ind w:right="474"/>
        <w:jc w:val="both"/>
        <w:rPr>
          <w:rFonts w:ascii="Arial" w:hAnsi="Arial" w:cs="Arial"/>
          <w:sz w:val="24"/>
          <w:szCs w:val="24"/>
        </w:rPr>
      </w:pPr>
    </w:p>
    <w:p w14:paraId="72E2F2B4" w14:textId="213EFB44" w:rsidR="00932F1E" w:rsidRPr="00471171" w:rsidRDefault="00932F1E" w:rsidP="00932F1E">
      <w:pPr>
        <w:pStyle w:val="NoSpacing"/>
        <w:ind w:left="540" w:right="474"/>
        <w:jc w:val="both"/>
        <w:rPr>
          <w:rFonts w:ascii="Arial" w:hAnsi="Arial" w:cs="Arial"/>
          <w:sz w:val="24"/>
          <w:szCs w:val="24"/>
        </w:rPr>
      </w:pPr>
      <w:r>
        <w:rPr>
          <w:rFonts w:ascii="Arial" w:hAnsi="Arial" w:cs="Arial"/>
          <w:b/>
          <w:sz w:val="24"/>
          <w:szCs w:val="24"/>
        </w:rPr>
        <w:t>Section 15</w:t>
      </w:r>
      <w:r>
        <w:rPr>
          <w:rFonts w:ascii="Arial" w:hAnsi="Arial" w:cs="Arial"/>
          <w:sz w:val="24"/>
          <w:szCs w:val="24"/>
        </w:rPr>
        <w:t xml:space="preserve">.  </w:t>
      </w:r>
      <w:r w:rsidR="00EB48E3" w:rsidRPr="00471171">
        <w:rPr>
          <w:rFonts w:ascii="Arial" w:hAnsi="Arial" w:cs="Arial"/>
          <w:sz w:val="24"/>
          <w:szCs w:val="24"/>
        </w:rPr>
        <w:t>For purposes of practical assessment, the following rules shall apply:</w:t>
      </w:r>
    </w:p>
    <w:p w14:paraId="7C286B65" w14:textId="77777777" w:rsidR="00F5310E" w:rsidRPr="00EB0BD9" w:rsidRDefault="00F5310E" w:rsidP="00F5310E">
      <w:pPr>
        <w:pStyle w:val="NoSpacing"/>
        <w:ind w:right="474"/>
        <w:jc w:val="both"/>
        <w:rPr>
          <w:rFonts w:ascii="Arial" w:hAnsi="Arial" w:cs="Arial"/>
          <w:sz w:val="24"/>
          <w:szCs w:val="24"/>
        </w:rPr>
      </w:pPr>
    </w:p>
    <w:p w14:paraId="2A7DD025" w14:textId="190BB570" w:rsidR="00932F1E" w:rsidRDefault="00932F1E" w:rsidP="00826BC8">
      <w:pPr>
        <w:pStyle w:val="NoSpacing"/>
        <w:numPr>
          <w:ilvl w:val="0"/>
          <w:numId w:val="18"/>
        </w:numPr>
        <w:ind w:left="1080" w:right="474"/>
        <w:jc w:val="both"/>
        <w:rPr>
          <w:rFonts w:ascii="Arial" w:hAnsi="Arial" w:cs="Arial"/>
          <w:sz w:val="24"/>
          <w:szCs w:val="24"/>
        </w:rPr>
      </w:pPr>
      <w:r>
        <w:rPr>
          <w:rFonts w:ascii="Arial" w:hAnsi="Arial" w:cs="Arial"/>
          <w:sz w:val="24"/>
          <w:szCs w:val="24"/>
        </w:rPr>
        <w:t>xxx</w:t>
      </w:r>
    </w:p>
    <w:p w14:paraId="713C4780" w14:textId="77777777" w:rsidR="00F5310E" w:rsidRDefault="00F5310E" w:rsidP="00F5310E">
      <w:pPr>
        <w:pStyle w:val="NoSpacing"/>
        <w:ind w:left="1260" w:right="474"/>
        <w:jc w:val="both"/>
        <w:rPr>
          <w:rFonts w:ascii="Arial" w:hAnsi="Arial" w:cs="Arial"/>
          <w:sz w:val="24"/>
          <w:szCs w:val="24"/>
        </w:rPr>
      </w:pPr>
    </w:p>
    <w:p w14:paraId="59135AB0" w14:textId="76B2234E" w:rsidR="00932F1E" w:rsidRDefault="00932F1E" w:rsidP="00826BC8">
      <w:pPr>
        <w:pStyle w:val="NoSpacing"/>
        <w:numPr>
          <w:ilvl w:val="0"/>
          <w:numId w:val="19"/>
        </w:numPr>
        <w:ind w:left="1800" w:right="474"/>
        <w:jc w:val="both"/>
        <w:rPr>
          <w:rFonts w:ascii="Arial" w:hAnsi="Arial" w:cs="Arial"/>
          <w:sz w:val="24"/>
          <w:szCs w:val="24"/>
        </w:rPr>
      </w:pPr>
      <w:r>
        <w:rPr>
          <w:rFonts w:ascii="Arial" w:hAnsi="Arial" w:cs="Arial"/>
          <w:sz w:val="24"/>
          <w:szCs w:val="24"/>
        </w:rPr>
        <w:t>xxx</w:t>
      </w:r>
    </w:p>
    <w:p w14:paraId="2B0156C2" w14:textId="77777777" w:rsidR="00F5310E" w:rsidRDefault="00F5310E" w:rsidP="00826BC8">
      <w:pPr>
        <w:pStyle w:val="NoSpacing"/>
        <w:ind w:left="1800" w:right="474"/>
        <w:jc w:val="both"/>
        <w:rPr>
          <w:rFonts w:ascii="Arial" w:hAnsi="Arial" w:cs="Arial"/>
          <w:sz w:val="24"/>
          <w:szCs w:val="24"/>
        </w:rPr>
      </w:pPr>
    </w:p>
    <w:p w14:paraId="39064625" w14:textId="09B3401A" w:rsidR="00932F1E" w:rsidRDefault="00F5310E" w:rsidP="00826BC8">
      <w:pPr>
        <w:pStyle w:val="NoSpacing"/>
        <w:numPr>
          <w:ilvl w:val="0"/>
          <w:numId w:val="19"/>
        </w:numPr>
        <w:ind w:left="1800" w:right="474"/>
        <w:jc w:val="both"/>
        <w:rPr>
          <w:rFonts w:ascii="Arial" w:hAnsi="Arial" w:cs="Arial"/>
          <w:sz w:val="24"/>
          <w:szCs w:val="24"/>
        </w:rPr>
      </w:pPr>
      <w:r>
        <w:rPr>
          <w:rFonts w:ascii="Arial" w:hAnsi="Arial" w:cs="Arial"/>
          <w:sz w:val="24"/>
          <w:szCs w:val="24"/>
        </w:rPr>
        <w:t>A candidate who fails the removal assessment or was not able to take the removal assessment within the prescribed period shall be required to retake the whole practical assessment upon showing proof of the requirement under Section 16</w:t>
      </w:r>
      <w:r w:rsidR="00826BC8">
        <w:rPr>
          <w:rFonts w:ascii="Arial" w:hAnsi="Arial" w:cs="Arial"/>
          <w:sz w:val="24"/>
          <w:szCs w:val="24"/>
        </w:rPr>
        <w:t xml:space="preserve"> below</w:t>
      </w:r>
      <w:r>
        <w:rPr>
          <w:rFonts w:ascii="Arial" w:hAnsi="Arial" w:cs="Arial"/>
          <w:sz w:val="24"/>
          <w:szCs w:val="24"/>
        </w:rPr>
        <w:t>.</w:t>
      </w:r>
    </w:p>
    <w:p w14:paraId="51A5D7DA" w14:textId="77777777" w:rsidR="00F5310E" w:rsidRDefault="00F5310E" w:rsidP="00826BC8">
      <w:pPr>
        <w:pStyle w:val="NoSpacing"/>
        <w:ind w:left="1800" w:right="474"/>
        <w:jc w:val="both"/>
        <w:rPr>
          <w:rFonts w:ascii="Arial" w:hAnsi="Arial" w:cs="Arial"/>
          <w:sz w:val="24"/>
          <w:szCs w:val="24"/>
        </w:rPr>
      </w:pPr>
    </w:p>
    <w:p w14:paraId="5593847E" w14:textId="705AD97F" w:rsidR="00F5310E" w:rsidRDefault="00F5310E" w:rsidP="00826BC8">
      <w:pPr>
        <w:pStyle w:val="NoSpacing"/>
        <w:numPr>
          <w:ilvl w:val="0"/>
          <w:numId w:val="19"/>
        </w:numPr>
        <w:ind w:left="1800" w:right="474"/>
        <w:jc w:val="both"/>
        <w:rPr>
          <w:rFonts w:ascii="Arial" w:hAnsi="Arial" w:cs="Arial"/>
          <w:sz w:val="24"/>
          <w:szCs w:val="24"/>
        </w:rPr>
      </w:pPr>
      <w:r>
        <w:rPr>
          <w:rFonts w:ascii="Arial" w:hAnsi="Arial" w:cs="Arial"/>
          <w:sz w:val="24"/>
          <w:szCs w:val="24"/>
        </w:rPr>
        <w:t>A candidate who fails the retake shall only be allowed to take the practical assessment again upon showing proof of the requirement under Section 16</w:t>
      </w:r>
      <w:r w:rsidR="000B5CC0">
        <w:rPr>
          <w:rFonts w:ascii="Arial" w:hAnsi="Arial" w:cs="Arial"/>
          <w:sz w:val="24"/>
          <w:szCs w:val="24"/>
        </w:rPr>
        <w:t xml:space="preserve"> which shall be taken before each retake</w:t>
      </w:r>
      <w:r>
        <w:rPr>
          <w:rFonts w:ascii="Arial" w:hAnsi="Arial" w:cs="Arial"/>
          <w:sz w:val="24"/>
          <w:szCs w:val="24"/>
        </w:rPr>
        <w:t>.</w:t>
      </w:r>
    </w:p>
    <w:p w14:paraId="536A6637" w14:textId="77777777" w:rsidR="00F5310E" w:rsidRDefault="00F5310E" w:rsidP="00F5310E">
      <w:pPr>
        <w:pStyle w:val="NoSpacing"/>
        <w:ind w:left="1980" w:right="474"/>
        <w:jc w:val="both"/>
        <w:rPr>
          <w:rFonts w:ascii="Arial" w:hAnsi="Arial" w:cs="Arial"/>
          <w:sz w:val="24"/>
          <w:szCs w:val="24"/>
        </w:rPr>
      </w:pPr>
    </w:p>
    <w:p w14:paraId="2BD2B675" w14:textId="24670BF5" w:rsidR="00703F6C" w:rsidRPr="00E86E28" w:rsidRDefault="00F5310E" w:rsidP="006D0E82">
      <w:pPr>
        <w:pStyle w:val="NoSpacing"/>
        <w:ind w:left="540" w:right="474"/>
        <w:jc w:val="both"/>
        <w:rPr>
          <w:rFonts w:ascii="Arial" w:hAnsi="Arial" w:cs="Arial"/>
          <w:sz w:val="24"/>
          <w:szCs w:val="24"/>
        </w:rPr>
      </w:pPr>
      <w:r>
        <w:rPr>
          <w:rFonts w:ascii="Arial" w:hAnsi="Arial" w:cs="Arial"/>
          <w:b/>
          <w:sz w:val="24"/>
          <w:szCs w:val="24"/>
        </w:rPr>
        <w:t>Section 16</w:t>
      </w:r>
      <w:r>
        <w:rPr>
          <w:rFonts w:ascii="Arial" w:hAnsi="Arial" w:cs="Arial"/>
          <w:sz w:val="24"/>
          <w:szCs w:val="24"/>
        </w:rPr>
        <w:t xml:space="preserve">.  A candidate under Section 14(c) iv and v and Section 15(c) iv and v shall </w:t>
      </w:r>
      <w:r w:rsidR="003E77F7">
        <w:rPr>
          <w:rFonts w:ascii="Arial" w:hAnsi="Arial" w:cs="Arial"/>
          <w:sz w:val="24"/>
          <w:szCs w:val="24"/>
        </w:rPr>
        <w:t xml:space="preserve">only </w:t>
      </w:r>
      <w:r>
        <w:rPr>
          <w:rFonts w:ascii="Arial" w:hAnsi="Arial" w:cs="Arial"/>
          <w:sz w:val="24"/>
          <w:szCs w:val="24"/>
        </w:rPr>
        <w:t>be allowed to take the whole theoretical examination or practical assessment, as applicable, upon showing proof of</w:t>
      </w:r>
      <w:r w:rsidR="003E77F7">
        <w:rPr>
          <w:rFonts w:ascii="Arial" w:hAnsi="Arial" w:cs="Arial"/>
          <w:sz w:val="24"/>
          <w:szCs w:val="24"/>
        </w:rPr>
        <w:t xml:space="preserve"> </w:t>
      </w:r>
      <w:r w:rsidR="008B0D2B">
        <w:rPr>
          <w:rFonts w:ascii="Arial" w:hAnsi="Arial" w:cs="Arial"/>
          <w:sz w:val="24"/>
          <w:szCs w:val="24"/>
        </w:rPr>
        <w:t>an approved</w:t>
      </w:r>
      <w:r w:rsidR="002638EE">
        <w:rPr>
          <w:rFonts w:ascii="Arial" w:hAnsi="Arial" w:cs="Arial"/>
          <w:sz w:val="24"/>
          <w:szCs w:val="24"/>
        </w:rPr>
        <w:t xml:space="preserve"> seagoing service for a period of not less than six (6) months in the capacity appropriate to the level of responsibility being applied for.</w:t>
      </w:r>
      <w:r w:rsidR="004D73D6">
        <w:rPr>
          <w:rFonts w:ascii="Arial" w:hAnsi="Arial" w:cs="Arial"/>
          <w:sz w:val="24"/>
          <w:szCs w:val="24"/>
        </w:rPr>
        <w:t xml:space="preserve"> Such seagoing service shall be served after </w:t>
      </w:r>
      <w:r w:rsidR="00703F6C">
        <w:rPr>
          <w:rFonts w:ascii="Arial" w:hAnsi="Arial" w:cs="Arial"/>
          <w:sz w:val="24"/>
          <w:szCs w:val="24"/>
        </w:rPr>
        <w:t>failing the removal assessment or retake as applicable.</w:t>
      </w:r>
    </w:p>
    <w:p w14:paraId="4A406795" w14:textId="77777777" w:rsidR="00F5310E" w:rsidRPr="00EB0BD9" w:rsidRDefault="00F5310E" w:rsidP="00F5310E">
      <w:pPr>
        <w:pStyle w:val="NoSpacing"/>
        <w:ind w:right="474"/>
        <w:jc w:val="both"/>
        <w:rPr>
          <w:rFonts w:ascii="Arial" w:hAnsi="Arial" w:cs="Arial"/>
          <w:sz w:val="24"/>
          <w:szCs w:val="24"/>
        </w:rPr>
      </w:pPr>
    </w:p>
    <w:p w14:paraId="3838FD41" w14:textId="07E8373F" w:rsidR="00D01B5A" w:rsidRDefault="00D01B5A" w:rsidP="003308CE">
      <w:pPr>
        <w:pStyle w:val="NoSpacing"/>
        <w:ind w:right="900"/>
        <w:jc w:val="both"/>
        <w:rPr>
          <w:rFonts w:ascii="Arial" w:hAnsi="Arial" w:cs="Arial"/>
          <w:sz w:val="24"/>
          <w:szCs w:val="24"/>
        </w:rPr>
      </w:pPr>
    </w:p>
    <w:p w14:paraId="2171DEFF" w14:textId="1C21703D" w:rsidR="003308CE" w:rsidRDefault="003308CE" w:rsidP="003308CE">
      <w:pPr>
        <w:pStyle w:val="NoSpacing"/>
        <w:rPr>
          <w:rFonts w:ascii="Arial" w:hAnsi="Arial" w:cs="Arial"/>
          <w:sz w:val="24"/>
          <w:szCs w:val="24"/>
        </w:rPr>
      </w:pPr>
      <w:r>
        <w:rPr>
          <w:rFonts w:ascii="Arial" w:hAnsi="Arial" w:cs="Arial"/>
          <w:b/>
          <w:sz w:val="24"/>
          <w:szCs w:val="24"/>
        </w:rPr>
        <w:t xml:space="preserve">Section 3.  </w:t>
      </w:r>
      <w:r w:rsidRPr="005B4C89">
        <w:rPr>
          <w:rFonts w:ascii="Arial" w:hAnsi="Arial" w:cs="Arial"/>
          <w:sz w:val="24"/>
          <w:szCs w:val="24"/>
        </w:rPr>
        <w:t>The provision</w:t>
      </w:r>
      <w:r>
        <w:rPr>
          <w:rFonts w:ascii="Arial" w:hAnsi="Arial" w:cs="Arial"/>
          <w:sz w:val="24"/>
          <w:szCs w:val="24"/>
        </w:rPr>
        <w:t>s</w:t>
      </w:r>
      <w:r w:rsidRPr="005B4C89">
        <w:rPr>
          <w:rFonts w:ascii="Arial" w:hAnsi="Arial" w:cs="Arial"/>
          <w:sz w:val="24"/>
          <w:szCs w:val="24"/>
        </w:rPr>
        <w:t xml:space="preserve"> under</w:t>
      </w:r>
      <w:r>
        <w:rPr>
          <w:rFonts w:ascii="Arial" w:hAnsi="Arial" w:cs="Arial"/>
          <w:b/>
          <w:sz w:val="24"/>
          <w:szCs w:val="24"/>
        </w:rPr>
        <w:t xml:space="preserve"> Section 14(c)iv and v, Section 15(c)iv and v, and </w:t>
      </w:r>
      <w:r w:rsidR="00544281">
        <w:rPr>
          <w:rFonts w:ascii="Arial" w:hAnsi="Arial" w:cs="Arial"/>
          <w:b/>
          <w:sz w:val="24"/>
          <w:szCs w:val="24"/>
        </w:rPr>
        <w:t xml:space="preserve">Section </w:t>
      </w:r>
      <w:r>
        <w:rPr>
          <w:rFonts w:ascii="Arial" w:hAnsi="Arial" w:cs="Arial"/>
          <w:b/>
          <w:sz w:val="24"/>
          <w:szCs w:val="24"/>
        </w:rPr>
        <w:t xml:space="preserve">16 of the STCW Circular No. 2018-09 </w:t>
      </w:r>
      <w:r w:rsidRPr="005B4C89">
        <w:rPr>
          <w:rFonts w:ascii="Arial" w:hAnsi="Arial" w:cs="Arial"/>
          <w:sz w:val="24"/>
          <w:szCs w:val="24"/>
        </w:rPr>
        <w:t>are</w:t>
      </w:r>
      <w:r>
        <w:rPr>
          <w:rFonts w:ascii="Arial" w:hAnsi="Arial" w:cs="Arial"/>
          <w:sz w:val="24"/>
          <w:szCs w:val="24"/>
        </w:rPr>
        <w:t xml:space="preserve"> hereby amended to read </w:t>
      </w:r>
      <w:r w:rsidRPr="005B4C89">
        <w:rPr>
          <w:rFonts w:ascii="Arial" w:hAnsi="Arial" w:cs="Arial"/>
          <w:sz w:val="24"/>
          <w:szCs w:val="24"/>
        </w:rPr>
        <w:t>as follows:</w:t>
      </w:r>
    </w:p>
    <w:p w14:paraId="2884AF82" w14:textId="77777777" w:rsidR="003308CE" w:rsidRPr="005D2E95" w:rsidRDefault="003308CE" w:rsidP="003308CE">
      <w:pPr>
        <w:pStyle w:val="NoSpacing"/>
        <w:rPr>
          <w:rFonts w:ascii="Arial" w:hAnsi="Arial" w:cs="Arial"/>
          <w:sz w:val="16"/>
          <w:szCs w:val="16"/>
        </w:rPr>
      </w:pPr>
    </w:p>
    <w:p w14:paraId="054DE406" w14:textId="705E0822" w:rsidR="003308CE" w:rsidRPr="00471171" w:rsidRDefault="003308CE" w:rsidP="003308CE">
      <w:pPr>
        <w:pStyle w:val="NoSpacing"/>
        <w:ind w:left="540" w:right="474"/>
        <w:jc w:val="both"/>
        <w:rPr>
          <w:rFonts w:ascii="Arial" w:hAnsi="Arial" w:cs="Arial"/>
          <w:sz w:val="24"/>
          <w:szCs w:val="24"/>
        </w:rPr>
      </w:pPr>
      <w:r>
        <w:rPr>
          <w:rFonts w:ascii="Arial" w:hAnsi="Arial" w:cs="Arial"/>
          <w:sz w:val="24"/>
          <w:szCs w:val="24"/>
        </w:rPr>
        <w:t>“</w:t>
      </w:r>
      <w:r>
        <w:rPr>
          <w:rFonts w:ascii="Arial" w:hAnsi="Arial" w:cs="Arial"/>
          <w:b/>
          <w:sz w:val="24"/>
          <w:szCs w:val="24"/>
        </w:rPr>
        <w:t>Section 14</w:t>
      </w:r>
      <w:r w:rsidRPr="00826BC8">
        <w:rPr>
          <w:rFonts w:ascii="Arial" w:hAnsi="Arial" w:cs="Arial"/>
          <w:sz w:val="24"/>
          <w:szCs w:val="24"/>
        </w:rPr>
        <w:t xml:space="preserve">. </w:t>
      </w:r>
      <w:r w:rsidR="00EB48E3" w:rsidRPr="00471171">
        <w:rPr>
          <w:rFonts w:ascii="Arial" w:hAnsi="Arial" w:cs="Arial"/>
          <w:sz w:val="24"/>
          <w:szCs w:val="24"/>
        </w:rPr>
        <w:t>For purposes of the theoretical examination, the following rules shall apply:</w:t>
      </w:r>
    </w:p>
    <w:p w14:paraId="43E42BCC" w14:textId="77777777" w:rsidR="003308CE" w:rsidRDefault="003308CE" w:rsidP="003308CE">
      <w:pPr>
        <w:pStyle w:val="NoSpacing"/>
        <w:ind w:left="1260" w:right="474"/>
        <w:jc w:val="both"/>
        <w:rPr>
          <w:rFonts w:ascii="Arial" w:hAnsi="Arial" w:cs="Arial"/>
          <w:sz w:val="24"/>
          <w:szCs w:val="24"/>
        </w:rPr>
      </w:pPr>
    </w:p>
    <w:p w14:paraId="2370F991" w14:textId="77777777" w:rsidR="003308CE" w:rsidRDefault="003308CE" w:rsidP="00471171">
      <w:pPr>
        <w:pStyle w:val="NoSpacing"/>
        <w:numPr>
          <w:ilvl w:val="0"/>
          <w:numId w:val="8"/>
        </w:numPr>
        <w:ind w:left="1080" w:right="474"/>
        <w:jc w:val="both"/>
        <w:rPr>
          <w:rFonts w:ascii="Arial" w:hAnsi="Arial" w:cs="Arial"/>
          <w:sz w:val="24"/>
          <w:szCs w:val="24"/>
        </w:rPr>
      </w:pPr>
      <w:r>
        <w:rPr>
          <w:rFonts w:ascii="Arial" w:hAnsi="Arial" w:cs="Arial"/>
          <w:sz w:val="24"/>
          <w:szCs w:val="24"/>
        </w:rPr>
        <w:t>xxx</w:t>
      </w:r>
    </w:p>
    <w:p w14:paraId="2922D67B" w14:textId="77777777" w:rsidR="003308CE" w:rsidRDefault="003308CE" w:rsidP="003308CE">
      <w:pPr>
        <w:pStyle w:val="NoSpacing"/>
        <w:ind w:left="1980" w:right="474"/>
        <w:jc w:val="both"/>
        <w:rPr>
          <w:rFonts w:ascii="Arial" w:hAnsi="Arial" w:cs="Arial"/>
          <w:sz w:val="24"/>
          <w:szCs w:val="24"/>
        </w:rPr>
      </w:pPr>
    </w:p>
    <w:p w14:paraId="388AE9AD" w14:textId="77777777" w:rsidR="003308CE" w:rsidRDefault="003308CE" w:rsidP="00471171">
      <w:pPr>
        <w:pStyle w:val="NoSpacing"/>
        <w:numPr>
          <w:ilvl w:val="0"/>
          <w:numId w:val="22"/>
        </w:numPr>
        <w:ind w:left="1800" w:right="474"/>
        <w:jc w:val="both"/>
        <w:rPr>
          <w:rFonts w:ascii="Arial" w:hAnsi="Arial" w:cs="Arial"/>
          <w:sz w:val="24"/>
          <w:szCs w:val="24"/>
        </w:rPr>
      </w:pPr>
      <w:r>
        <w:rPr>
          <w:rFonts w:ascii="Arial" w:hAnsi="Arial" w:cs="Arial"/>
          <w:sz w:val="24"/>
          <w:szCs w:val="24"/>
        </w:rPr>
        <w:t>xxx</w:t>
      </w:r>
    </w:p>
    <w:p w14:paraId="44336624" w14:textId="77777777" w:rsidR="003308CE" w:rsidRDefault="003308CE" w:rsidP="00826BC8">
      <w:pPr>
        <w:pStyle w:val="NoSpacing"/>
        <w:ind w:left="1800" w:right="474"/>
        <w:jc w:val="both"/>
        <w:rPr>
          <w:rFonts w:ascii="Arial" w:hAnsi="Arial" w:cs="Arial"/>
          <w:sz w:val="24"/>
          <w:szCs w:val="24"/>
        </w:rPr>
      </w:pPr>
    </w:p>
    <w:p w14:paraId="02E25A2F" w14:textId="77777777" w:rsidR="003308CE" w:rsidRDefault="003308CE" w:rsidP="00471171">
      <w:pPr>
        <w:pStyle w:val="NoSpacing"/>
        <w:numPr>
          <w:ilvl w:val="0"/>
          <w:numId w:val="22"/>
        </w:numPr>
        <w:ind w:left="1800" w:right="474"/>
        <w:jc w:val="both"/>
        <w:rPr>
          <w:rFonts w:ascii="Arial" w:hAnsi="Arial" w:cs="Arial"/>
          <w:sz w:val="24"/>
          <w:szCs w:val="24"/>
        </w:rPr>
      </w:pPr>
      <w:r>
        <w:rPr>
          <w:rFonts w:ascii="Arial" w:hAnsi="Arial" w:cs="Arial"/>
          <w:sz w:val="24"/>
          <w:szCs w:val="24"/>
        </w:rPr>
        <w:t>A candidate who fails the removal assessment or was not able to take the said examination within the prescribed period shall only be allowed to retake the whole theoretical examination upon showing proof of the requirement under Section 16.</w:t>
      </w:r>
    </w:p>
    <w:p w14:paraId="40AA6E27" w14:textId="77777777" w:rsidR="003308CE" w:rsidRDefault="003308CE" w:rsidP="00826BC8">
      <w:pPr>
        <w:pStyle w:val="NoSpacing"/>
        <w:ind w:left="1800" w:right="474"/>
        <w:jc w:val="both"/>
        <w:rPr>
          <w:rFonts w:ascii="Arial" w:hAnsi="Arial" w:cs="Arial"/>
          <w:sz w:val="24"/>
          <w:szCs w:val="24"/>
        </w:rPr>
      </w:pPr>
    </w:p>
    <w:p w14:paraId="6550A709" w14:textId="77777777" w:rsidR="003308CE" w:rsidRDefault="003308CE" w:rsidP="00471171">
      <w:pPr>
        <w:pStyle w:val="NoSpacing"/>
        <w:numPr>
          <w:ilvl w:val="0"/>
          <w:numId w:val="22"/>
        </w:numPr>
        <w:ind w:left="1800" w:right="474"/>
        <w:jc w:val="both"/>
        <w:rPr>
          <w:rFonts w:ascii="Arial" w:hAnsi="Arial" w:cs="Arial"/>
          <w:sz w:val="24"/>
          <w:szCs w:val="24"/>
        </w:rPr>
      </w:pPr>
      <w:r>
        <w:rPr>
          <w:rFonts w:ascii="Arial" w:hAnsi="Arial" w:cs="Arial"/>
          <w:sz w:val="24"/>
          <w:szCs w:val="24"/>
        </w:rPr>
        <w:t>A candidate who fails the retake shall only be allowed to take the practical assessment again upon showing proof of the requirement under Section 16 which shall be taken before each retake.</w:t>
      </w:r>
    </w:p>
    <w:p w14:paraId="6224DF15" w14:textId="77777777" w:rsidR="003308CE" w:rsidRDefault="003308CE" w:rsidP="003308CE">
      <w:pPr>
        <w:pStyle w:val="NoSpacing"/>
        <w:ind w:right="474"/>
        <w:jc w:val="both"/>
        <w:rPr>
          <w:rFonts w:ascii="Arial" w:hAnsi="Arial" w:cs="Arial"/>
          <w:sz w:val="24"/>
          <w:szCs w:val="24"/>
        </w:rPr>
      </w:pPr>
    </w:p>
    <w:p w14:paraId="3B8F082A" w14:textId="533A0960" w:rsidR="003308CE" w:rsidRPr="00471171" w:rsidRDefault="003308CE" w:rsidP="003308CE">
      <w:pPr>
        <w:pStyle w:val="NoSpacing"/>
        <w:ind w:left="540" w:right="474"/>
        <w:jc w:val="both"/>
        <w:rPr>
          <w:rFonts w:ascii="Arial" w:hAnsi="Arial" w:cs="Arial"/>
          <w:sz w:val="24"/>
          <w:szCs w:val="24"/>
        </w:rPr>
      </w:pPr>
      <w:r>
        <w:rPr>
          <w:rFonts w:ascii="Arial" w:hAnsi="Arial" w:cs="Arial"/>
          <w:b/>
          <w:sz w:val="24"/>
          <w:szCs w:val="24"/>
        </w:rPr>
        <w:t>Section 15</w:t>
      </w:r>
      <w:r>
        <w:rPr>
          <w:rFonts w:ascii="Arial" w:hAnsi="Arial" w:cs="Arial"/>
          <w:sz w:val="24"/>
          <w:szCs w:val="24"/>
        </w:rPr>
        <w:t xml:space="preserve">.  </w:t>
      </w:r>
      <w:r w:rsidR="00EB48E3" w:rsidRPr="00471171">
        <w:rPr>
          <w:rFonts w:ascii="Arial" w:hAnsi="Arial" w:cs="Arial"/>
          <w:sz w:val="24"/>
          <w:szCs w:val="24"/>
        </w:rPr>
        <w:t>For purposes of practical assessment, the following rules shall apply:</w:t>
      </w:r>
    </w:p>
    <w:p w14:paraId="18C3A4E2" w14:textId="77777777" w:rsidR="003308CE" w:rsidRDefault="003308CE" w:rsidP="003308CE">
      <w:pPr>
        <w:pStyle w:val="NoSpacing"/>
        <w:ind w:left="1260" w:right="474"/>
        <w:jc w:val="both"/>
        <w:rPr>
          <w:rFonts w:ascii="Arial" w:hAnsi="Arial" w:cs="Arial"/>
          <w:sz w:val="24"/>
          <w:szCs w:val="24"/>
        </w:rPr>
      </w:pPr>
    </w:p>
    <w:p w14:paraId="249921E8" w14:textId="77777777" w:rsidR="003308CE" w:rsidRDefault="003308CE" w:rsidP="00471171">
      <w:pPr>
        <w:pStyle w:val="NoSpacing"/>
        <w:numPr>
          <w:ilvl w:val="0"/>
          <w:numId w:val="20"/>
        </w:numPr>
        <w:ind w:left="1080" w:right="474"/>
        <w:jc w:val="both"/>
        <w:rPr>
          <w:rFonts w:ascii="Arial" w:hAnsi="Arial" w:cs="Arial"/>
          <w:sz w:val="24"/>
          <w:szCs w:val="24"/>
        </w:rPr>
      </w:pPr>
      <w:r>
        <w:rPr>
          <w:rFonts w:ascii="Arial" w:hAnsi="Arial" w:cs="Arial"/>
          <w:sz w:val="24"/>
          <w:szCs w:val="24"/>
        </w:rPr>
        <w:t>xxx</w:t>
      </w:r>
    </w:p>
    <w:p w14:paraId="79C4808C" w14:textId="77777777" w:rsidR="003308CE" w:rsidRDefault="003308CE" w:rsidP="003308CE">
      <w:pPr>
        <w:pStyle w:val="NoSpacing"/>
        <w:ind w:left="1980" w:right="474"/>
        <w:jc w:val="both"/>
        <w:rPr>
          <w:rFonts w:ascii="Arial" w:hAnsi="Arial" w:cs="Arial"/>
          <w:sz w:val="24"/>
          <w:szCs w:val="24"/>
        </w:rPr>
      </w:pPr>
    </w:p>
    <w:p w14:paraId="028475E5" w14:textId="77777777" w:rsidR="003308CE" w:rsidRDefault="003308CE" w:rsidP="00471171">
      <w:pPr>
        <w:pStyle w:val="NoSpacing"/>
        <w:numPr>
          <w:ilvl w:val="0"/>
          <w:numId w:val="21"/>
        </w:numPr>
        <w:ind w:left="1800" w:right="474"/>
        <w:jc w:val="both"/>
        <w:rPr>
          <w:rFonts w:ascii="Arial" w:hAnsi="Arial" w:cs="Arial"/>
          <w:sz w:val="24"/>
          <w:szCs w:val="24"/>
        </w:rPr>
      </w:pPr>
      <w:r>
        <w:rPr>
          <w:rFonts w:ascii="Arial" w:hAnsi="Arial" w:cs="Arial"/>
          <w:sz w:val="24"/>
          <w:szCs w:val="24"/>
        </w:rPr>
        <w:t>xxx</w:t>
      </w:r>
    </w:p>
    <w:p w14:paraId="2EAB8F8F" w14:textId="77777777" w:rsidR="003308CE" w:rsidRDefault="003308CE" w:rsidP="00826BC8">
      <w:pPr>
        <w:pStyle w:val="NoSpacing"/>
        <w:ind w:left="1800" w:right="474"/>
        <w:jc w:val="both"/>
        <w:rPr>
          <w:rFonts w:ascii="Arial" w:hAnsi="Arial" w:cs="Arial"/>
          <w:sz w:val="24"/>
          <w:szCs w:val="24"/>
        </w:rPr>
      </w:pPr>
    </w:p>
    <w:p w14:paraId="06AF31BA" w14:textId="77777777" w:rsidR="003308CE" w:rsidRDefault="003308CE" w:rsidP="00471171">
      <w:pPr>
        <w:pStyle w:val="NoSpacing"/>
        <w:numPr>
          <w:ilvl w:val="0"/>
          <w:numId w:val="21"/>
        </w:numPr>
        <w:ind w:left="1800" w:right="474"/>
        <w:jc w:val="both"/>
        <w:rPr>
          <w:rFonts w:ascii="Arial" w:hAnsi="Arial" w:cs="Arial"/>
          <w:sz w:val="24"/>
          <w:szCs w:val="24"/>
        </w:rPr>
      </w:pPr>
      <w:r>
        <w:rPr>
          <w:rFonts w:ascii="Arial" w:hAnsi="Arial" w:cs="Arial"/>
          <w:sz w:val="24"/>
          <w:szCs w:val="24"/>
        </w:rPr>
        <w:t>A candidate who fails the removal assessment or was not able to take the removal assessment within the prescribed period shall be required to retake the whole practical assessment upon showing proof of the requirement under Section 16.</w:t>
      </w:r>
    </w:p>
    <w:p w14:paraId="0A136FB6" w14:textId="77777777" w:rsidR="003308CE" w:rsidRDefault="003308CE" w:rsidP="00826BC8">
      <w:pPr>
        <w:pStyle w:val="NoSpacing"/>
        <w:ind w:left="1800" w:right="474"/>
        <w:jc w:val="both"/>
        <w:rPr>
          <w:rFonts w:ascii="Arial" w:hAnsi="Arial" w:cs="Arial"/>
          <w:sz w:val="24"/>
          <w:szCs w:val="24"/>
        </w:rPr>
      </w:pPr>
    </w:p>
    <w:p w14:paraId="26B14301" w14:textId="61014C2B" w:rsidR="003308CE" w:rsidRDefault="003308CE" w:rsidP="00471171">
      <w:pPr>
        <w:pStyle w:val="NoSpacing"/>
        <w:numPr>
          <w:ilvl w:val="0"/>
          <w:numId w:val="21"/>
        </w:numPr>
        <w:ind w:left="1800" w:right="474"/>
        <w:jc w:val="both"/>
        <w:rPr>
          <w:rFonts w:ascii="Arial" w:hAnsi="Arial" w:cs="Arial"/>
          <w:sz w:val="24"/>
          <w:szCs w:val="24"/>
        </w:rPr>
      </w:pPr>
      <w:r>
        <w:rPr>
          <w:rFonts w:ascii="Arial" w:hAnsi="Arial" w:cs="Arial"/>
          <w:sz w:val="24"/>
          <w:szCs w:val="24"/>
        </w:rPr>
        <w:t>A candidate who fails the retake shall only be allowed to take the practical assessment again upon showing proof of the requirement under Section 16 which shall be taken before each retake.</w:t>
      </w:r>
    </w:p>
    <w:p w14:paraId="79644571" w14:textId="77777777" w:rsidR="003308CE" w:rsidRDefault="003308CE" w:rsidP="003308CE">
      <w:pPr>
        <w:pStyle w:val="NoSpacing"/>
        <w:ind w:left="1980" w:right="474"/>
        <w:jc w:val="both"/>
        <w:rPr>
          <w:rFonts w:ascii="Arial" w:hAnsi="Arial" w:cs="Arial"/>
          <w:sz w:val="24"/>
          <w:szCs w:val="24"/>
        </w:rPr>
      </w:pPr>
    </w:p>
    <w:p w14:paraId="43A5582E" w14:textId="43D65871" w:rsidR="00826BC8" w:rsidRDefault="003308CE" w:rsidP="006D0E82">
      <w:pPr>
        <w:pStyle w:val="NoSpacing"/>
        <w:ind w:left="540" w:right="474"/>
        <w:jc w:val="both"/>
        <w:rPr>
          <w:rFonts w:ascii="Arial" w:hAnsi="Arial" w:cs="Arial"/>
          <w:sz w:val="24"/>
          <w:szCs w:val="24"/>
        </w:rPr>
      </w:pPr>
      <w:r>
        <w:rPr>
          <w:rFonts w:ascii="Arial" w:hAnsi="Arial" w:cs="Arial"/>
          <w:b/>
          <w:sz w:val="24"/>
          <w:szCs w:val="24"/>
        </w:rPr>
        <w:t>Section 16</w:t>
      </w:r>
      <w:r>
        <w:rPr>
          <w:rFonts w:ascii="Arial" w:hAnsi="Arial" w:cs="Arial"/>
          <w:sz w:val="24"/>
          <w:szCs w:val="24"/>
        </w:rPr>
        <w:t xml:space="preserve">.  A candidate under Section 14(c) iv and v and Section 15(c) iv and v shall </w:t>
      </w:r>
      <w:r w:rsidR="003E77F7">
        <w:rPr>
          <w:rFonts w:ascii="Arial" w:hAnsi="Arial" w:cs="Arial"/>
          <w:sz w:val="24"/>
          <w:szCs w:val="24"/>
        </w:rPr>
        <w:t xml:space="preserve">only </w:t>
      </w:r>
      <w:r>
        <w:rPr>
          <w:rFonts w:ascii="Arial" w:hAnsi="Arial" w:cs="Arial"/>
          <w:sz w:val="24"/>
          <w:szCs w:val="24"/>
        </w:rPr>
        <w:t>be allowed to take the whole theoretical examination or practical assessment, as applicable, upon showing proof of</w:t>
      </w:r>
      <w:r w:rsidR="003E77F7">
        <w:rPr>
          <w:rFonts w:ascii="Arial" w:hAnsi="Arial" w:cs="Arial"/>
          <w:sz w:val="24"/>
          <w:szCs w:val="24"/>
        </w:rPr>
        <w:t xml:space="preserve"> </w:t>
      </w:r>
      <w:r>
        <w:rPr>
          <w:rFonts w:ascii="Arial" w:hAnsi="Arial" w:cs="Arial"/>
          <w:sz w:val="24"/>
          <w:szCs w:val="24"/>
        </w:rPr>
        <w:t>an approved seagoing service for a period of not less than six (6) months in the capacity appropriate to the level of responsibility being applied for.</w:t>
      </w:r>
      <w:r w:rsidR="004D73D6">
        <w:rPr>
          <w:rFonts w:ascii="Arial" w:hAnsi="Arial" w:cs="Arial"/>
          <w:sz w:val="24"/>
          <w:szCs w:val="24"/>
        </w:rPr>
        <w:t xml:space="preserve"> Such seagoing service shall be served after </w:t>
      </w:r>
      <w:r w:rsidR="00703F6C">
        <w:rPr>
          <w:rFonts w:ascii="Arial" w:hAnsi="Arial" w:cs="Arial"/>
          <w:sz w:val="24"/>
          <w:szCs w:val="24"/>
        </w:rPr>
        <w:t>failing the removal assessment or retake, as applicable</w:t>
      </w:r>
      <w:r w:rsidR="004D73D6">
        <w:rPr>
          <w:rFonts w:ascii="Arial" w:hAnsi="Arial" w:cs="Arial"/>
          <w:sz w:val="24"/>
          <w:szCs w:val="24"/>
        </w:rPr>
        <w:t>.</w:t>
      </w:r>
      <w:r>
        <w:rPr>
          <w:rFonts w:ascii="Arial" w:hAnsi="Arial" w:cs="Arial"/>
          <w:sz w:val="24"/>
          <w:szCs w:val="24"/>
        </w:rPr>
        <w:t>”</w:t>
      </w:r>
    </w:p>
    <w:p w14:paraId="4A05FD0B" w14:textId="4A218BCB" w:rsidR="00826BC8" w:rsidRDefault="00826BC8" w:rsidP="00217C64">
      <w:pPr>
        <w:pStyle w:val="NoSpacing"/>
        <w:ind w:right="900"/>
        <w:jc w:val="both"/>
        <w:rPr>
          <w:rFonts w:ascii="Arial" w:hAnsi="Arial" w:cs="Arial"/>
          <w:sz w:val="24"/>
          <w:szCs w:val="24"/>
        </w:rPr>
      </w:pPr>
    </w:p>
    <w:p w14:paraId="03FCC8DC" w14:textId="77777777" w:rsidR="00826BC8" w:rsidRDefault="00826BC8" w:rsidP="00217C64">
      <w:pPr>
        <w:pStyle w:val="NoSpacing"/>
        <w:ind w:right="900"/>
        <w:jc w:val="both"/>
        <w:rPr>
          <w:rFonts w:ascii="Arial" w:hAnsi="Arial" w:cs="Arial"/>
          <w:sz w:val="24"/>
          <w:szCs w:val="24"/>
        </w:rPr>
      </w:pPr>
    </w:p>
    <w:p w14:paraId="57B4E739" w14:textId="77777777" w:rsidR="00202B3E" w:rsidRPr="009B3B2D" w:rsidRDefault="009A38D7" w:rsidP="00202B3E">
      <w:pPr>
        <w:pStyle w:val="NoSpacing"/>
        <w:ind w:right="900"/>
        <w:jc w:val="center"/>
        <w:rPr>
          <w:rFonts w:ascii="Arial" w:hAnsi="Arial" w:cs="Arial"/>
          <w:b/>
          <w:sz w:val="28"/>
          <w:szCs w:val="24"/>
        </w:rPr>
      </w:pPr>
      <w:r>
        <w:rPr>
          <w:rFonts w:ascii="Arial" w:hAnsi="Arial" w:cs="Arial"/>
          <w:b/>
          <w:sz w:val="28"/>
          <w:szCs w:val="24"/>
        </w:rPr>
        <w:t xml:space="preserve">        </w:t>
      </w:r>
      <w:r w:rsidR="00202B3E" w:rsidRPr="009B3B2D">
        <w:rPr>
          <w:rFonts w:ascii="Arial" w:hAnsi="Arial" w:cs="Arial"/>
          <w:b/>
          <w:sz w:val="28"/>
          <w:szCs w:val="24"/>
        </w:rPr>
        <w:t>Article III</w:t>
      </w:r>
    </w:p>
    <w:p w14:paraId="5217626D" w14:textId="77777777" w:rsidR="00202B3E" w:rsidRPr="00202B3E" w:rsidRDefault="009A38D7" w:rsidP="00202B3E">
      <w:pPr>
        <w:pStyle w:val="NoSpacing"/>
        <w:ind w:right="900"/>
        <w:jc w:val="center"/>
        <w:rPr>
          <w:rFonts w:ascii="Arial" w:hAnsi="Arial" w:cs="Arial"/>
          <w:b/>
          <w:sz w:val="24"/>
          <w:szCs w:val="24"/>
        </w:rPr>
      </w:pPr>
      <w:r>
        <w:rPr>
          <w:rFonts w:ascii="Arial" w:hAnsi="Arial" w:cs="Arial"/>
          <w:b/>
          <w:sz w:val="24"/>
          <w:szCs w:val="24"/>
        </w:rPr>
        <w:t xml:space="preserve">          </w:t>
      </w:r>
      <w:r w:rsidR="00202B3E" w:rsidRPr="00292BCC">
        <w:rPr>
          <w:rFonts w:ascii="Arial" w:hAnsi="Arial" w:cs="Arial"/>
          <w:b/>
          <w:sz w:val="24"/>
          <w:szCs w:val="24"/>
        </w:rPr>
        <w:t>REPEALING CLAUSE</w:t>
      </w:r>
    </w:p>
    <w:p w14:paraId="6627DEF0" w14:textId="77777777" w:rsidR="00202B3E" w:rsidRDefault="00202B3E" w:rsidP="00BB4EAE">
      <w:pPr>
        <w:pStyle w:val="NoSpacing"/>
        <w:ind w:left="720" w:right="900"/>
        <w:jc w:val="both"/>
        <w:rPr>
          <w:rFonts w:ascii="Arial" w:hAnsi="Arial" w:cs="Arial"/>
          <w:sz w:val="24"/>
          <w:szCs w:val="24"/>
        </w:rPr>
      </w:pPr>
    </w:p>
    <w:p w14:paraId="22A09A3F" w14:textId="5170FB3A" w:rsidR="00202B3E" w:rsidRDefault="003308CE" w:rsidP="00202B3E">
      <w:pPr>
        <w:pStyle w:val="NoSpacing"/>
        <w:ind w:right="180"/>
        <w:jc w:val="both"/>
        <w:rPr>
          <w:rFonts w:ascii="Arial" w:hAnsi="Arial" w:cs="Arial"/>
          <w:sz w:val="24"/>
          <w:szCs w:val="24"/>
        </w:rPr>
      </w:pPr>
      <w:r>
        <w:rPr>
          <w:rFonts w:ascii="Arial" w:hAnsi="Arial" w:cs="Arial"/>
          <w:b/>
          <w:sz w:val="24"/>
          <w:szCs w:val="24"/>
        </w:rPr>
        <w:t>Section 4</w:t>
      </w:r>
      <w:r w:rsidR="00202B3E" w:rsidRPr="00292BCC">
        <w:rPr>
          <w:rFonts w:ascii="Arial" w:hAnsi="Arial" w:cs="Arial"/>
          <w:sz w:val="24"/>
          <w:szCs w:val="24"/>
        </w:rPr>
        <w:t xml:space="preserve">.  </w:t>
      </w:r>
      <w:r w:rsidR="00DF67D6">
        <w:rPr>
          <w:rFonts w:ascii="Arial" w:hAnsi="Arial" w:cs="Arial"/>
          <w:sz w:val="24"/>
          <w:szCs w:val="24"/>
        </w:rPr>
        <w:t>Relevant provisions of the STCW Circulars No. 2018-08 and 2018-09 are</w:t>
      </w:r>
      <w:r w:rsidR="008050D7">
        <w:rPr>
          <w:rFonts w:ascii="Arial" w:hAnsi="Arial" w:cs="Arial"/>
          <w:sz w:val="24"/>
          <w:szCs w:val="24"/>
        </w:rPr>
        <w:t xml:space="preserve"> hereby amended. Other</w:t>
      </w:r>
      <w:r w:rsidR="00202B3E" w:rsidRPr="00292BCC">
        <w:rPr>
          <w:rFonts w:ascii="Arial" w:hAnsi="Arial" w:cs="Arial"/>
          <w:sz w:val="24"/>
          <w:szCs w:val="24"/>
        </w:rPr>
        <w:t xml:space="preserve"> existing MARINA and STCW Circulars, STCW Advisories, ru</w:t>
      </w:r>
      <w:r w:rsidR="00202B3E">
        <w:rPr>
          <w:rFonts w:ascii="Arial" w:hAnsi="Arial" w:cs="Arial"/>
          <w:sz w:val="24"/>
          <w:szCs w:val="24"/>
        </w:rPr>
        <w:t>les and regulations which are</w:t>
      </w:r>
      <w:r w:rsidR="00202B3E" w:rsidRPr="00292BCC">
        <w:rPr>
          <w:rFonts w:ascii="Arial" w:hAnsi="Arial" w:cs="Arial"/>
          <w:sz w:val="24"/>
          <w:szCs w:val="24"/>
        </w:rPr>
        <w:t xml:space="preserve"> contrary</w:t>
      </w:r>
      <w:r w:rsidR="00202B3E">
        <w:rPr>
          <w:rFonts w:ascii="Arial" w:hAnsi="Arial" w:cs="Arial"/>
          <w:sz w:val="24"/>
          <w:szCs w:val="24"/>
        </w:rPr>
        <w:t xml:space="preserve"> or inconsistent with this Circular are hereby superseded, repealed or amended accordingly.</w:t>
      </w:r>
    </w:p>
    <w:p w14:paraId="064A1C6F" w14:textId="77777777" w:rsidR="00202B3E" w:rsidRDefault="00202B3E" w:rsidP="00202B3E">
      <w:pPr>
        <w:pStyle w:val="NoSpacing"/>
        <w:ind w:right="180"/>
        <w:rPr>
          <w:rFonts w:ascii="Arial" w:hAnsi="Arial" w:cs="Arial"/>
          <w:sz w:val="24"/>
          <w:szCs w:val="24"/>
        </w:rPr>
      </w:pPr>
    </w:p>
    <w:p w14:paraId="643194FB" w14:textId="77777777" w:rsidR="00202B3E" w:rsidRDefault="00202B3E" w:rsidP="00202B3E">
      <w:pPr>
        <w:pStyle w:val="NoSpacing"/>
        <w:ind w:right="180"/>
        <w:rPr>
          <w:rFonts w:ascii="Arial" w:hAnsi="Arial" w:cs="Arial"/>
          <w:sz w:val="24"/>
          <w:szCs w:val="24"/>
        </w:rPr>
      </w:pPr>
    </w:p>
    <w:p w14:paraId="349C781E" w14:textId="77777777" w:rsidR="00544281" w:rsidRDefault="00544281" w:rsidP="00202B3E">
      <w:pPr>
        <w:pStyle w:val="NoSpacing"/>
        <w:ind w:right="180"/>
        <w:jc w:val="center"/>
        <w:rPr>
          <w:rFonts w:ascii="Arial" w:hAnsi="Arial" w:cs="Arial"/>
          <w:b/>
          <w:sz w:val="28"/>
          <w:szCs w:val="24"/>
        </w:rPr>
      </w:pPr>
    </w:p>
    <w:p w14:paraId="2A07C890" w14:textId="77777777" w:rsidR="00544281" w:rsidRDefault="00544281" w:rsidP="00202B3E">
      <w:pPr>
        <w:pStyle w:val="NoSpacing"/>
        <w:ind w:right="180"/>
        <w:jc w:val="center"/>
        <w:rPr>
          <w:rFonts w:ascii="Arial" w:hAnsi="Arial" w:cs="Arial"/>
          <w:b/>
          <w:sz w:val="28"/>
          <w:szCs w:val="24"/>
        </w:rPr>
      </w:pPr>
    </w:p>
    <w:p w14:paraId="2F84AC53" w14:textId="65407B26" w:rsidR="00544281" w:rsidRDefault="00544281" w:rsidP="006D0E82">
      <w:pPr>
        <w:pStyle w:val="NoSpacing"/>
        <w:ind w:right="180"/>
        <w:rPr>
          <w:rFonts w:ascii="Arial" w:hAnsi="Arial" w:cs="Arial"/>
          <w:b/>
          <w:sz w:val="28"/>
          <w:szCs w:val="24"/>
        </w:rPr>
      </w:pPr>
    </w:p>
    <w:p w14:paraId="5D2D4609" w14:textId="5D9EC8A8" w:rsidR="00202B3E" w:rsidRPr="009B3B2D" w:rsidRDefault="00202B3E" w:rsidP="00202B3E">
      <w:pPr>
        <w:pStyle w:val="NoSpacing"/>
        <w:ind w:right="180"/>
        <w:jc w:val="center"/>
        <w:rPr>
          <w:rFonts w:ascii="Arial" w:hAnsi="Arial" w:cs="Arial"/>
          <w:b/>
          <w:sz w:val="28"/>
          <w:szCs w:val="24"/>
        </w:rPr>
      </w:pPr>
      <w:r w:rsidRPr="009B3B2D">
        <w:rPr>
          <w:rFonts w:ascii="Arial" w:hAnsi="Arial" w:cs="Arial"/>
          <w:b/>
          <w:sz w:val="28"/>
          <w:szCs w:val="24"/>
        </w:rPr>
        <w:lastRenderedPageBreak/>
        <w:t>Article IV</w:t>
      </w:r>
    </w:p>
    <w:p w14:paraId="2CE4B3D8" w14:textId="5B971B39" w:rsidR="00202B3E" w:rsidRPr="00292BCC" w:rsidRDefault="008050D7" w:rsidP="00202B3E">
      <w:pPr>
        <w:pStyle w:val="NoSpacing"/>
        <w:ind w:right="180"/>
        <w:jc w:val="center"/>
        <w:rPr>
          <w:rFonts w:ascii="Arial" w:hAnsi="Arial" w:cs="Arial"/>
          <w:b/>
          <w:sz w:val="24"/>
          <w:szCs w:val="24"/>
        </w:rPr>
      </w:pPr>
      <w:r>
        <w:rPr>
          <w:rFonts w:ascii="Arial" w:hAnsi="Arial" w:cs="Arial"/>
          <w:b/>
          <w:sz w:val="24"/>
          <w:szCs w:val="24"/>
        </w:rPr>
        <w:t>SEPA</w:t>
      </w:r>
      <w:r w:rsidR="00202B3E" w:rsidRPr="00292BCC">
        <w:rPr>
          <w:rFonts w:ascii="Arial" w:hAnsi="Arial" w:cs="Arial"/>
          <w:b/>
          <w:sz w:val="24"/>
          <w:szCs w:val="24"/>
        </w:rPr>
        <w:t>RABILITY CLAUSE</w:t>
      </w:r>
    </w:p>
    <w:p w14:paraId="5CD42083" w14:textId="77777777" w:rsidR="00202B3E" w:rsidRDefault="00202B3E" w:rsidP="00202B3E">
      <w:pPr>
        <w:pStyle w:val="NoSpacing"/>
        <w:ind w:right="180"/>
        <w:rPr>
          <w:rFonts w:ascii="Arial" w:hAnsi="Arial" w:cs="Arial"/>
          <w:sz w:val="24"/>
          <w:szCs w:val="24"/>
        </w:rPr>
      </w:pPr>
    </w:p>
    <w:p w14:paraId="50F02086" w14:textId="33516840" w:rsidR="00202B3E" w:rsidRDefault="008050D7" w:rsidP="00202B3E">
      <w:pPr>
        <w:pStyle w:val="NoSpacing"/>
        <w:ind w:right="180"/>
        <w:jc w:val="both"/>
        <w:rPr>
          <w:rFonts w:ascii="Arial" w:hAnsi="Arial" w:cs="Arial"/>
          <w:sz w:val="24"/>
          <w:szCs w:val="24"/>
        </w:rPr>
      </w:pPr>
      <w:r>
        <w:rPr>
          <w:rFonts w:ascii="Arial" w:hAnsi="Arial" w:cs="Arial"/>
          <w:b/>
          <w:sz w:val="24"/>
          <w:szCs w:val="24"/>
        </w:rPr>
        <w:t>S</w:t>
      </w:r>
      <w:r w:rsidR="003308CE">
        <w:rPr>
          <w:rFonts w:ascii="Arial" w:hAnsi="Arial" w:cs="Arial"/>
          <w:b/>
          <w:sz w:val="24"/>
          <w:szCs w:val="24"/>
        </w:rPr>
        <w:t>ection 5</w:t>
      </w:r>
      <w:r w:rsidR="00202B3E" w:rsidRPr="00292BCC">
        <w:rPr>
          <w:rFonts w:ascii="Arial" w:hAnsi="Arial" w:cs="Arial"/>
          <w:sz w:val="24"/>
          <w:szCs w:val="24"/>
        </w:rPr>
        <w:t xml:space="preserve">.  </w:t>
      </w:r>
      <w:r w:rsidR="00202B3E">
        <w:rPr>
          <w:rFonts w:ascii="Arial" w:hAnsi="Arial" w:cs="Arial"/>
          <w:sz w:val="24"/>
          <w:szCs w:val="24"/>
        </w:rPr>
        <w:t>If any provision or part of this Circular is declared by any competent authority to be invalid or unconstitutional, the remaining provisions or parts hereof shall remain in full force and effect and shall continue to be valid and effective.</w:t>
      </w:r>
    </w:p>
    <w:p w14:paraId="271C93D7" w14:textId="77777777" w:rsidR="00202B3E" w:rsidRDefault="00202B3E" w:rsidP="00202B3E">
      <w:pPr>
        <w:pStyle w:val="NoSpacing"/>
        <w:ind w:right="180"/>
        <w:jc w:val="both"/>
        <w:rPr>
          <w:rFonts w:ascii="Arial" w:hAnsi="Arial" w:cs="Arial"/>
          <w:sz w:val="24"/>
          <w:szCs w:val="24"/>
        </w:rPr>
      </w:pPr>
    </w:p>
    <w:p w14:paraId="0E606CCF" w14:textId="77777777" w:rsidR="00202B3E" w:rsidRDefault="00202B3E" w:rsidP="00202B3E">
      <w:pPr>
        <w:pStyle w:val="NoSpacing"/>
        <w:ind w:right="180"/>
        <w:jc w:val="both"/>
        <w:rPr>
          <w:rFonts w:ascii="Arial" w:hAnsi="Arial" w:cs="Arial"/>
          <w:sz w:val="24"/>
          <w:szCs w:val="24"/>
        </w:rPr>
      </w:pPr>
    </w:p>
    <w:p w14:paraId="243B028A" w14:textId="77777777" w:rsidR="00202B3E" w:rsidRPr="009B3B2D" w:rsidRDefault="00202B3E" w:rsidP="00202B3E">
      <w:pPr>
        <w:pStyle w:val="NoSpacing"/>
        <w:ind w:right="180"/>
        <w:jc w:val="center"/>
        <w:rPr>
          <w:rFonts w:ascii="Arial" w:hAnsi="Arial" w:cs="Arial"/>
          <w:b/>
          <w:sz w:val="28"/>
          <w:szCs w:val="24"/>
        </w:rPr>
      </w:pPr>
      <w:r w:rsidRPr="009B3B2D">
        <w:rPr>
          <w:rFonts w:ascii="Arial" w:hAnsi="Arial" w:cs="Arial"/>
          <w:b/>
          <w:sz w:val="28"/>
          <w:szCs w:val="24"/>
        </w:rPr>
        <w:t>Article V</w:t>
      </w:r>
    </w:p>
    <w:p w14:paraId="06DD2A99" w14:textId="0F99C057" w:rsidR="00202B3E" w:rsidRPr="00292BCC" w:rsidRDefault="00202B3E" w:rsidP="00202B3E">
      <w:pPr>
        <w:pStyle w:val="NoSpacing"/>
        <w:ind w:right="180"/>
        <w:jc w:val="center"/>
        <w:rPr>
          <w:rFonts w:ascii="Arial" w:hAnsi="Arial" w:cs="Arial"/>
          <w:b/>
          <w:sz w:val="24"/>
          <w:szCs w:val="24"/>
        </w:rPr>
      </w:pPr>
      <w:r w:rsidRPr="00292BCC">
        <w:rPr>
          <w:rFonts w:ascii="Arial" w:hAnsi="Arial" w:cs="Arial"/>
          <w:b/>
          <w:sz w:val="24"/>
          <w:szCs w:val="24"/>
        </w:rPr>
        <w:t>EFFECTIVITY</w:t>
      </w:r>
      <w:r w:rsidR="008050D7">
        <w:rPr>
          <w:rFonts w:ascii="Arial" w:hAnsi="Arial" w:cs="Arial"/>
          <w:b/>
          <w:sz w:val="24"/>
          <w:szCs w:val="24"/>
        </w:rPr>
        <w:t xml:space="preserve"> CLAUSE</w:t>
      </w:r>
    </w:p>
    <w:p w14:paraId="6DB7E77A" w14:textId="77777777" w:rsidR="00202B3E" w:rsidRDefault="00202B3E" w:rsidP="00202B3E">
      <w:pPr>
        <w:pStyle w:val="NoSpacing"/>
        <w:ind w:right="180"/>
        <w:rPr>
          <w:rFonts w:ascii="Arial" w:hAnsi="Arial" w:cs="Arial"/>
          <w:sz w:val="24"/>
          <w:szCs w:val="24"/>
        </w:rPr>
      </w:pPr>
    </w:p>
    <w:p w14:paraId="4338207E" w14:textId="3312C4F8" w:rsidR="00202B3E" w:rsidRDefault="003308CE" w:rsidP="00202B3E">
      <w:pPr>
        <w:pStyle w:val="NoSpacing"/>
        <w:ind w:right="180"/>
        <w:jc w:val="both"/>
        <w:rPr>
          <w:rFonts w:ascii="Arial" w:hAnsi="Arial" w:cs="Arial"/>
          <w:sz w:val="24"/>
          <w:szCs w:val="24"/>
        </w:rPr>
      </w:pPr>
      <w:r>
        <w:rPr>
          <w:rFonts w:ascii="Arial" w:hAnsi="Arial" w:cs="Arial"/>
          <w:b/>
          <w:sz w:val="24"/>
          <w:szCs w:val="24"/>
        </w:rPr>
        <w:t>Section 6</w:t>
      </w:r>
      <w:r w:rsidR="00202B3E" w:rsidRPr="00292BCC">
        <w:rPr>
          <w:rFonts w:ascii="Arial" w:hAnsi="Arial" w:cs="Arial"/>
          <w:sz w:val="24"/>
          <w:szCs w:val="24"/>
        </w:rPr>
        <w:t xml:space="preserve">.  </w:t>
      </w:r>
      <w:r w:rsidR="00202B3E">
        <w:rPr>
          <w:rFonts w:ascii="Arial" w:hAnsi="Arial" w:cs="Arial"/>
          <w:sz w:val="24"/>
          <w:szCs w:val="24"/>
        </w:rPr>
        <w:t>This Memorandum Circular shall take effect fifteen (15) days following its publication in a newspaper of general circulation and submission to the Office of the National Administrative Register (ONAR).</w:t>
      </w:r>
    </w:p>
    <w:p w14:paraId="5B434E46" w14:textId="77777777" w:rsidR="00202B3E" w:rsidRDefault="00202B3E" w:rsidP="00BB4EAE">
      <w:pPr>
        <w:pStyle w:val="NoSpacing"/>
        <w:ind w:left="720" w:right="900"/>
        <w:jc w:val="both"/>
        <w:rPr>
          <w:rFonts w:ascii="Arial" w:hAnsi="Arial" w:cs="Arial"/>
          <w:sz w:val="24"/>
          <w:szCs w:val="24"/>
        </w:rPr>
      </w:pPr>
    </w:p>
    <w:p w14:paraId="7687C39A" w14:textId="77777777" w:rsidR="00483056" w:rsidRDefault="00483056" w:rsidP="00BB4EAE">
      <w:pPr>
        <w:pStyle w:val="NoSpacing"/>
        <w:ind w:right="900"/>
        <w:jc w:val="both"/>
        <w:rPr>
          <w:rFonts w:ascii="Arial" w:hAnsi="Arial" w:cs="Arial"/>
          <w:sz w:val="24"/>
          <w:szCs w:val="24"/>
        </w:rPr>
      </w:pPr>
    </w:p>
    <w:p w14:paraId="5167E993" w14:textId="77777777" w:rsidR="00BB4EAE" w:rsidRDefault="00BB4EAE" w:rsidP="00BB4EAE">
      <w:pPr>
        <w:pStyle w:val="NoSpacing"/>
        <w:ind w:right="180"/>
        <w:jc w:val="both"/>
        <w:rPr>
          <w:rFonts w:ascii="Arial" w:hAnsi="Arial" w:cs="Arial"/>
          <w:sz w:val="24"/>
          <w:szCs w:val="24"/>
        </w:rPr>
      </w:pPr>
      <w:r>
        <w:rPr>
          <w:rFonts w:ascii="Arial" w:hAnsi="Arial" w:cs="Arial"/>
          <w:sz w:val="24"/>
          <w:szCs w:val="24"/>
        </w:rPr>
        <w:t>Done in Manila, Philippines on ___________________.</w:t>
      </w:r>
    </w:p>
    <w:p w14:paraId="1A788558" w14:textId="77777777" w:rsidR="00BB4EAE" w:rsidRDefault="00BB4EAE" w:rsidP="00BB4EAE">
      <w:pPr>
        <w:pStyle w:val="NoSpacing"/>
        <w:ind w:right="180"/>
        <w:jc w:val="both"/>
        <w:rPr>
          <w:rFonts w:ascii="Arial" w:hAnsi="Arial" w:cs="Arial"/>
          <w:sz w:val="24"/>
          <w:szCs w:val="24"/>
        </w:rPr>
      </w:pPr>
    </w:p>
    <w:p w14:paraId="1CA04BC0" w14:textId="6779F4D9" w:rsidR="00BB4EAE" w:rsidRDefault="00BB4EAE" w:rsidP="00BB4EAE">
      <w:pPr>
        <w:pStyle w:val="NoSpacing"/>
        <w:ind w:right="180"/>
        <w:jc w:val="both"/>
        <w:rPr>
          <w:rFonts w:ascii="Arial" w:hAnsi="Arial" w:cs="Arial"/>
          <w:sz w:val="24"/>
          <w:szCs w:val="24"/>
        </w:rPr>
      </w:pPr>
    </w:p>
    <w:p w14:paraId="3D7DB7F6" w14:textId="77777777" w:rsidR="008050D7" w:rsidRDefault="008050D7" w:rsidP="00BB4EAE">
      <w:pPr>
        <w:pStyle w:val="NoSpacing"/>
        <w:ind w:right="180"/>
        <w:jc w:val="both"/>
        <w:rPr>
          <w:rFonts w:ascii="Arial" w:hAnsi="Arial" w:cs="Arial"/>
          <w:sz w:val="24"/>
          <w:szCs w:val="24"/>
        </w:rPr>
      </w:pPr>
    </w:p>
    <w:p w14:paraId="688BDD6E" w14:textId="4D9ED375" w:rsidR="008050D7" w:rsidRPr="008050D7" w:rsidRDefault="008050D7" w:rsidP="008050D7">
      <w:pPr>
        <w:pStyle w:val="NoSpacing"/>
        <w:ind w:right="180"/>
        <w:jc w:val="right"/>
        <w:rPr>
          <w:rFonts w:ascii="Arial" w:hAnsi="Arial" w:cs="Arial"/>
          <w:b/>
          <w:sz w:val="24"/>
          <w:szCs w:val="24"/>
        </w:rPr>
      </w:pPr>
      <w:r w:rsidRPr="008050D7">
        <w:rPr>
          <w:rFonts w:ascii="Arial" w:hAnsi="Arial" w:cs="Arial"/>
          <w:b/>
          <w:sz w:val="24"/>
          <w:szCs w:val="24"/>
        </w:rPr>
        <w:t>BY THE AUTHORITY OF THE BOARD:</w:t>
      </w:r>
    </w:p>
    <w:p w14:paraId="4C86C2DD" w14:textId="066B97F2" w:rsidR="00BB4EAE" w:rsidRDefault="00BB4EAE" w:rsidP="008050D7">
      <w:pPr>
        <w:spacing w:line="276" w:lineRule="auto"/>
        <w:jc w:val="right"/>
        <w:rPr>
          <w:rFonts w:ascii="Arial" w:hAnsi="Arial" w:cs="Arial"/>
          <w:sz w:val="24"/>
          <w:szCs w:val="24"/>
        </w:rPr>
      </w:pPr>
    </w:p>
    <w:p w14:paraId="4C2A0897" w14:textId="24531790" w:rsidR="008050D7" w:rsidRDefault="008050D7" w:rsidP="008050D7">
      <w:pPr>
        <w:spacing w:line="276" w:lineRule="auto"/>
        <w:jc w:val="right"/>
        <w:rPr>
          <w:rFonts w:ascii="Arial" w:hAnsi="Arial" w:cs="Arial"/>
          <w:sz w:val="24"/>
          <w:szCs w:val="24"/>
        </w:rPr>
      </w:pPr>
    </w:p>
    <w:p w14:paraId="68EE8860" w14:textId="77777777" w:rsidR="00D01B5A" w:rsidRDefault="00D01B5A" w:rsidP="008050D7">
      <w:pPr>
        <w:spacing w:line="276" w:lineRule="auto"/>
        <w:jc w:val="right"/>
        <w:rPr>
          <w:rFonts w:ascii="Arial" w:hAnsi="Arial" w:cs="Arial"/>
          <w:sz w:val="24"/>
          <w:szCs w:val="24"/>
        </w:rPr>
      </w:pPr>
    </w:p>
    <w:p w14:paraId="21F2C0E4" w14:textId="77777777" w:rsidR="00BB4EAE" w:rsidRDefault="00BB4EAE" w:rsidP="008050D7">
      <w:pPr>
        <w:spacing w:line="276" w:lineRule="auto"/>
        <w:jc w:val="right"/>
        <w:rPr>
          <w:rFonts w:ascii="Arial" w:hAnsi="Arial" w:cs="Arial"/>
          <w:b/>
          <w:sz w:val="24"/>
          <w:szCs w:val="24"/>
        </w:rPr>
      </w:pPr>
      <w:r w:rsidRPr="00292BCC">
        <w:rPr>
          <w:rFonts w:ascii="Arial" w:hAnsi="Arial" w:cs="Arial"/>
          <w:b/>
          <w:sz w:val="24"/>
          <w:szCs w:val="24"/>
        </w:rPr>
        <w:t>VADM ROBERT A EMPEDRAD AFP (Ret)</w:t>
      </w:r>
    </w:p>
    <w:p w14:paraId="78DEA186" w14:textId="237C5EAA" w:rsidR="00BB4EAE" w:rsidRPr="00292BCC" w:rsidRDefault="008050D7" w:rsidP="008050D7">
      <w:pPr>
        <w:spacing w:line="276" w:lineRule="auto"/>
        <w:ind w:left="4320" w:right="480" w:firstLine="720"/>
        <w:rPr>
          <w:rFonts w:ascii="Arial" w:hAnsi="Arial" w:cs="Arial"/>
          <w:sz w:val="24"/>
          <w:szCs w:val="24"/>
        </w:rPr>
      </w:pPr>
      <w:r>
        <w:rPr>
          <w:rFonts w:ascii="Arial" w:hAnsi="Arial" w:cs="Arial"/>
          <w:sz w:val="24"/>
          <w:szCs w:val="24"/>
        </w:rPr>
        <w:t xml:space="preserve">             </w:t>
      </w:r>
      <w:r w:rsidR="00BB4EAE" w:rsidRPr="00292BCC">
        <w:rPr>
          <w:rFonts w:ascii="Arial" w:hAnsi="Arial" w:cs="Arial"/>
          <w:sz w:val="24"/>
          <w:szCs w:val="24"/>
        </w:rPr>
        <w:t>Administrator</w:t>
      </w:r>
    </w:p>
    <w:p w14:paraId="0FE78273" w14:textId="1E09988E" w:rsidR="00BB4EAE" w:rsidRDefault="00BB4EAE" w:rsidP="00BB4EAE">
      <w:pPr>
        <w:pStyle w:val="NoSpacing"/>
        <w:ind w:right="180"/>
        <w:jc w:val="both"/>
        <w:rPr>
          <w:rFonts w:ascii="Arial" w:hAnsi="Arial" w:cs="Arial"/>
          <w:sz w:val="24"/>
          <w:szCs w:val="24"/>
        </w:rPr>
      </w:pPr>
    </w:p>
    <w:p w14:paraId="712E390E" w14:textId="4EFEBFA0" w:rsidR="008050D7" w:rsidRDefault="008050D7" w:rsidP="00BB4EAE">
      <w:pPr>
        <w:pStyle w:val="NoSpacing"/>
        <w:ind w:right="180"/>
        <w:jc w:val="both"/>
        <w:rPr>
          <w:rFonts w:ascii="Arial" w:hAnsi="Arial" w:cs="Arial"/>
          <w:sz w:val="24"/>
          <w:szCs w:val="24"/>
        </w:rPr>
      </w:pPr>
    </w:p>
    <w:p w14:paraId="3F84377D" w14:textId="77777777" w:rsidR="00BB4EAE" w:rsidRDefault="00BB4EAE" w:rsidP="00BB4EAE">
      <w:pPr>
        <w:pStyle w:val="NoSpacing"/>
        <w:ind w:right="180"/>
        <w:jc w:val="both"/>
        <w:rPr>
          <w:rFonts w:ascii="Arial" w:hAnsi="Arial" w:cs="Arial"/>
          <w:sz w:val="24"/>
          <w:szCs w:val="24"/>
        </w:rPr>
      </w:pPr>
    </w:p>
    <w:p w14:paraId="6623ED8B" w14:textId="3EA01D98" w:rsidR="008050D7" w:rsidRDefault="008050D7" w:rsidP="008050D7">
      <w:pPr>
        <w:pStyle w:val="NoSpacing"/>
        <w:ind w:right="180"/>
        <w:jc w:val="center"/>
        <w:rPr>
          <w:rFonts w:ascii="Arial" w:hAnsi="Arial" w:cs="Arial"/>
          <w:b/>
          <w:sz w:val="24"/>
          <w:szCs w:val="24"/>
        </w:rPr>
      </w:pPr>
      <w:r>
        <w:rPr>
          <w:rFonts w:ascii="Arial" w:hAnsi="Arial" w:cs="Arial"/>
          <w:b/>
          <w:sz w:val="24"/>
          <w:szCs w:val="24"/>
        </w:rPr>
        <w:t>SECRETARY’S CERTIFICATE</w:t>
      </w:r>
    </w:p>
    <w:p w14:paraId="2BCF8523" w14:textId="5E98D4DC" w:rsidR="00BB4EAE" w:rsidRDefault="00BB4EAE" w:rsidP="00BB4EAE">
      <w:pPr>
        <w:pStyle w:val="NoSpacing"/>
        <w:ind w:right="180"/>
        <w:jc w:val="center"/>
        <w:rPr>
          <w:rFonts w:ascii="Arial" w:hAnsi="Arial" w:cs="Arial"/>
          <w:b/>
          <w:sz w:val="24"/>
          <w:szCs w:val="24"/>
        </w:rPr>
      </w:pPr>
    </w:p>
    <w:p w14:paraId="282AF575" w14:textId="77777777" w:rsidR="000A6C09" w:rsidRDefault="000A6C09" w:rsidP="00BB4EAE">
      <w:pPr>
        <w:pStyle w:val="NoSpacing"/>
        <w:ind w:right="180"/>
        <w:jc w:val="center"/>
        <w:rPr>
          <w:rFonts w:ascii="Arial" w:hAnsi="Arial" w:cs="Arial"/>
          <w:b/>
          <w:sz w:val="24"/>
          <w:szCs w:val="24"/>
        </w:rPr>
      </w:pPr>
    </w:p>
    <w:p w14:paraId="53335865" w14:textId="77777777" w:rsidR="00BB4EAE" w:rsidRDefault="00BB4EAE" w:rsidP="00BB4EAE">
      <w:pPr>
        <w:pStyle w:val="NoSpacing"/>
        <w:ind w:right="180"/>
        <w:jc w:val="center"/>
        <w:rPr>
          <w:rFonts w:ascii="Arial" w:hAnsi="Arial" w:cs="Arial"/>
          <w:b/>
          <w:sz w:val="24"/>
          <w:szCs w:val="24"/>
        </w:rPr>
      </w:pPr>
    </w:p>
    <w:p w14:paraId="73D2FBDF" w14:textId="44252A18" w:rsidR="00BB4EAE" w:rsidRDefault="00BB4EAE" w:rsidP="00BB4EAE">
      <w:pPr>
        <w:pStyle w:val="NoSpacing"/>
        <w:ind w:right="-180"/>
        <w:rPr>
          <w:rFonts w:ascii="Arial" w:hAnsi="Arial" w:cs="Arial"/>
          <w:sz w:val="24"/>
          <w:szCs w:val="24"/>
        </w:rPr>
      </w:pPr>
      <w:r w:rsidRPr="00292BCC">
        <w:rPr>
          <w:rFonts w:ascii="Arial" w:hAnsi="Arial" w:cs="Arial"/>
          <w:sz w:val="24"/>
          <w:szCs w:val="24"/>
        </w:rPr>
        <w:t>This is to certify that</w:t>
      </w:r>
      <w:r>
        <w:rPr>
          <w:rFonts w:ascii="Arial" w:hAnsi="Arial" w:cs="Arial"/>
          <w:sz w:val="24"/>
          <w:szCs w:val="24"/>
        </w:rPr>
        <w:t xml:space="preserve"> Memorandum Circular No. SC 2020</w:t>
      </w:r>
      <w:r w:rsidRPr="00292BCC">
        <w:rPr>
          <w:rFonts w:ascii="Arial" w:hAnsi="Arial" w:cs="Arial"/>
          <w:sz w:val="24"/>
          <w:szCs w:val="24"/>
        </w:rPr>
        <w:t xml:space="preserve">- ____ was approved by the </w:t>
      </w:r>
      <w:r w:rsidR="008050D7">
        <w:rPr>
          <w:rFonts w:ascii="Arial" w:hAnsi="Arial" w:cs="Arial"/>
          <w:sz w:val="24"/>
          <w:szCs w:val="24"/>
        </w:rPr>
        <w:t>MARINA Board during its _____________ Regular Board Meeting held on _______________</w:t>
      </w:r>
      <w:r w:rsidRPr="00292BCC">
        <w:rPr>
          <w:rFonts w:ascii="Arial" w:hAnsi="Arial" w:cs="Arial"/>
          <w:sz w:val="24"/>
          <w:szCs w:val="24"/>
        </w:rPr>
        <w:t xml:space="preserve"> </w:t>
      </w:r>
      <w:r w:rsidR="008050D7">
        <w:rPr>
          <w:rFonts w:ascii="Arial" w:hAnsi="Arial" w:cs="Arial"/>
          <w:sz w:val="24"/>
          <w:szCs w:val="24"/>
        </w:rPr>
        <w:t>20___.</w:t>
      </w:r>
    </w:p>
    <w:p w14:paraId="00158A69" w14:textId="77777777" w:rsidR="00BB4EAE" w:rsidRDefault="00BB4EAE" w:rsidP="00BB4EAE">
      <w:pPr>
        <w:pStyle w:val="NoSpacing"/>
        <w:ind w:right="180"/>
        <w:rPr>
          <w:rFonts w:ascii="Arial" w:hAnsi="Arial" w:cs="Arial"/>
          <w:sz w:val="24"/>
          <w:szCs w:val="24"/>
        </w:rPr>
      </w:pPr>
    </w:p>
    <w:p w14:paraId="556B7CF0" w14:textId="77777777" w:rsidR="00BB4EAE" w:rsidRDefault="00BB4EAE" w:rsidP="00BB4EAE">
      <w:pPr>
        <w:pStyle w:val="NoSpacing"/>
        <w:ind w:right="180"/>
        <w:rPr>
          <w:rFonts w:ascii="Arial" w:hAnsi="Arial" w:cs="Arial"/>
          <w:sz w:val="24"/>
          <w:szCs w:val="24"/>
        </w:rPr>
      </w:pPr>
    </w:p>
    <w:p w14:paraId="17A4F622" w14:textId="77777777" w:rsidR="001C67CA" w:rsidRDefault="001C67CA" w:rsidP="00BB4EAE">
      <w:pPr>
        <w:pStyle w:val="NoSpacing"/>
        <w:ind w:right="180"/>
        <w:rPr>
          <w:rFonts w:ascii="Arial" w:hAnsi="Arial" w:cs="Arial"/>
          <w:sz w:val="24"/>
          <w:szCs w:val="24"/>
        </w:rPr>
      </w:pPr>
    </w:p>
    <w:p w14:paraId="2E832987" w14:textId="77777777" w:rsidR="00BB4EAE" w:rsidRPr="00DC5BFA" w:rsidRDefault="00BB4EAE" w:rsidP="00BB4EAE">
      <w:pPr>
        <w:pStyle w:val="NoSpacing"/>
        <w:ind w:right="180"/>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C5BFA">
        <w:rPr>
          <w:rFonts w:ascii="Arial" w:hAnsi="Arial" w:cs="Arial"/>
          <w:b/>
          <w:sz w:val="24"/>
          <w:szCs w:val="24"/>
        </w:rPr>
        <w:t>ATTY. EUSEBIA CADLUM-BOCO</w:t>
      </w:r>
    </w:p>
    <w:p w14:paraId="78DCFC34" w14:textId="3CDAB5EF" w:rsidR="00346DF8" w:rsidRDefault="00BB4EAE" w:rsidP="00F73988">
      <w:pPr>
        <w:pStyle w:val="NoSpacing"/>
        <w:ind w:right="1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750C">
        <w:rPr>
          <w:rFonts w:ascii="Arial" w:hAnsi="Arial" w:cs="Arial"/>
          <w:sz w:val="24"/>
          <w:szCs w:val="24"/>
        </w:rPr>
        <w:t>Corporate Board Secretary</w:t>
      </w:r>
    </w:p>
    <w:p w14:paraId="2D8265D2" w14:textId="7286C0D5" w:rsidR="0078750C" w:rsidRDefault="0078750C" w:rsidP="00F73988">
      <w:pPr>
        <w:pStyle w:val="NoSpacing"/>
        <w:ind w:right="180"/>
        <w:rPr>
          <w:rFonts w:ascii="Arial" w:hAnsi="Arial" w:cs="Arial"/>
          <w:sz w:val="24"/>
          <w:szCs w:val="24"/>
        </w:rPr>
      </w:pPr>
    </w:p>
    <w:p w14:paraId="36A097A7" w14:textId="74DE6EA6" w:rsidR="0078750C" w:rsidRDefault="0078750C" w:rsidP="00F73988">
      <w:pPr>
        <w:pStyle w:val="NoSpacing"/>
        <w:ind w:right="180"/>
        <w:rPr>
          <w:rFonts w:ascii="Arial" w:hAnsi="Arial" w:cs="Arial"/>
          <w:sz w:val="24"/>
          <w:szCs w:val="24"/>
        </w:rPr>
      </w:pPr>
    </w:p>
    <w:p w14:paraId="1447DDB4" w14:textId="77777777" w:rsidR="000A6C09" w:rsidRDefault="000A6C09" w:rsidP="00F73988">
      <w:pPr>
        <w:pStyle w:val="NoSpacing"/>
        <w:ind w:right="180"/>
        <w:rPr>
          <w:rFonts w:ascii="Arial" w:hAnsi="Arial" w:cs="Arial"/>
          <w:sz w:val="24"/>
          <w:szCs w:val="24"/>
        </w:rPr>
      </w:pPr>
    </w:p>
    <w:p w14:paraId="67276B68" w14:textId="59F97E11" w:rsidR="0078750C" w:rsidRDefault="0078750C" w:rsidP="00F73988">
      <w:pPr>
        <w:pStyle w:val="NoSpacing"/>
        <w:ind w:right="180"/>
        <w:rPr>
          <w:rFonts w:ascii="Arial" w:hAnsi="Arial" w:cs="Arial"/>
          <w:sz w:val="24"/>
          <w:szCs w:val="24"/>
        </w:rPr>
      </w:pPr>
      <w:r>
        <w:rPr>
          <w:rFonts w:ascii="Arial" w:hAnsi="Arial" w:cs="Arial"/>
          <w:sz w:val="24"/>
          <w:szCs w:val="24"/>
        </w:rPr>
        <w:t>Date of Publication: _________________________</w:t>
      </w:r>
    </w:p>
    <w:p w14:paraId="68317616" w14:textId="70E2ADDC" w:rsidR="0078750C" w:rsidRDefault="0078750C" w:rsidP="00F73988">
      <w:pPr>
        <w:pStyle w:val="NoSpacing"/>
        <w:ind w:right="180"/>
        <w:rPr>
          <w:rFonts w:ascii="Arial" w:hAnsi="Arial" w:cs="Arial"/>
          <w:sz w:val="24"/>
          <w:szCs w:val="24"/>
        </w:rPr>
      </w:pPr>
      <w:r>
        <w:rPr>
          <w:rFonts w:ascii="Arial" w:hAnsi="Arial" w:cs="Arial"/>
          <w:sz w:val="24"/>
          <w:szCs w:val="24"/>
        </w:rPr>
        <w:t>Published In: ______________________________</w:t>
      </w:r>
    </w:p>
    <w:p w14:paraId="417A3D0F" w14:textId="2BB5CBB0" w:rsidR="0078750C" w:rsidRPr="00F73988" w:rsidRDefault="0078750C" w:rsidP="00F73988">
      <w:pPr>
        <w:pStyle w:val="NoSpacing"/>
        <w:ind w:right="180"/>
        <w:rPr>
          <w:rFonts w:ascii="Arial" w:hAnsi="Arial" w:cs="Arial"/>
          <w:sz w:val="24"/>
          <w:szCs w:val="24"/>
        </w:rPr>
      </w:pPr>
      <w:r>
        <w:rPr>
          <w:rFonts w:ascii="Arial" w:hAnsi="Arial" w:cs="Arial"/>
          <w:sz w:val="24"/>
          <w:szCs w:val="24"/>
        </w:rPr>
        <w:t>Date of Submission to ONAR: _________________</w:t>
      </w:r>
    </w:p>
    <w:sectPr w:rsidR="0078750C" w:rsidRPr="00F73988" w:rsidSect="005D2E95">
      <w:footerReference w:type="default" r:id="rId8"/>
      <w:headerReference w:type="first" r:id="rId9"/>
      <w:footerReference w:type="first" r:id="rId10"/>
      <w:pgSz w:w="11904" w:h="16838" w:code="9"/>
      <w:pgMar w:top="1584" w:right="1440" w:bottom="1440" w:left="1440" w:header="706" w:footer="144" w:gutter="0"/>
      <w:pgNumType w:start="1"/>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95E67" w16cex:dateUtc="2020-10-20T05:02:00Z"/>
  <w16cex:commentExtensible w16cex:durableId="23395EA4" w16cex:dateUtc="2020-10-20T05:03:00Z"/>
  <w16cex:commentExtensible w16cex:durableId="23395F81" w16cex:dateUtc="2020-10-20T05:07:00Z"/>
  <w16cex:commentExtensible w16cex:durableId="23395F8A" w16cex:dateUtc="2020-10-20T05: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4BA80E" w16cid:durableId="23395E67"/>
  <w16cid:commentId w16cid:paraId="6E0C28C1" w16cid:durableId="23395EA4"/>
  <w16cid:commentId w16cid:paraId="642BB375" w16cid:durableId="23395F81"/>
  <w16cid:commentId w16cid:paraId="71DEE286" w16cid:durableId="23395F8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BC277" w14:textId="77777777" w:rsidR="00780E1C" w:rsidRDefault="00780E1C">
      <w:r>
        <w:separator/>
      </w:r>
    </w:p>
  </w:endnote>
  <w:endnote w:type="continuationSeparator" w:id="0">
    <w:p w14:paraId="72B639B1" w14:textId="77777777" w:rsidR="00780E1C" w:rsidRDefault="00780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5F7C4" w14:textId="77777777" w:rsidR="00346DF8" w:rsidRDefault="00346DF8">
    <w:pPr>
      <w:pBdr>
        <w:top w:val="nil"/>
        <w:left w:val="nil"/>
        <w:bottom w:val="nil"/>
        <w:right w:val="nil"/>
        <w:between w:val="nil"/>
      </w:pBdr>
      <w:tabs>
        <w:tab w:val="center" w:pos="4680"/>
        <w:tab w:val="right" w:pos="9360"/>
      </w:tabs>
      <w:rPr>
        <w:rFonts w:ascii="Arial" w:eastAsia="Arial" w:hAnsi="Arial" w:cs="Arial"/>
        <w:color w:val="000000"/>
        <w:sz w:val="18"/>
        <w:szCs w:val="18"/>
      </w:rPr>
    </w:pPr>
  </w:p>
  <w:p w14:paraId="743EDB63" w14:textId="36FF28D9" w:rsidR="00346DF8" w:rsidRDefault="005722A4">
    <w:pPr>
      <w:pBdr>
        <w:top w:val="nil"/>
        <w:left w:val="nil"/>
        <w:bottom w:val="nil"/>
        <w:right w:val="nil"/>
        <w:between w:val="nil"/>
      </w:pBdr>
      <w:tabs>
        <w:tab w:val="center" w:pos="4680"/>
        <w:tab w:val="right" w:pos="9360"/>
      </w:tabs>
      <w:jc w:val="right"/>
      <w:rPr>
        <w:rFonts w:ascii="Arial" w:eastAsia="Arial" w:hAnsi="Arial" w:cs="Arial"/>
        <w:color w:val="000000"/>
        <w:sz w:val="18"/>
        <w:szCs w:val="18"/>
      </w:rPr>
    </w:pPr>
    <w:r>
      <w:rPr>
        <w:rFonts w:ascii="Arial" w:eastAsia="Arial" w:hAnsi="Arial" w:cs="Arial"/>
        <w:color w:val="000000"/>
        <w:sz w:val="18"/>
        <w:szCs w:val="18"/>
      </w:rPr>
      <w:t xml:space="preserve">Page </w:t>
    </w:r>
    <w:r w:rsidR="008E69E5">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8E69E5">
      <w:rPr>
        <w:rFonts w:ascii="Arial" w:eastAsia="Arial" w:hAnsi="Arial" w:cs="Arial"/>
        <w:color w:val="000000"/>
        <w:sz w:val="18"/>
        <w:szCs w:val="18"/>
      </w:rPr>
      <w:fldChar w:fldCharType="separate"/>
    </w:r>
    <w:r w:rsidR="006D0E82">
      <w:rPr>
        <w:rFonts w:ascii="Arial" w:eastAsia="Arial" w:hAnsi="Arial" w:cs="Arial"/>
        <w:noProof/>
        <w:color w:val="000000"/>
        <w:sz w:val="18"/>
        <w:szCs w:val="18"/>
      </w:rPr>
      <w:t>4</w:t>
    </w:r>
    <w:r w:rsidR="008E69E5">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sidR="008E69E5">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8E69E5">
      <w:rPr>
        <w:rFonts w:ascii="Arial" w:eastAsia="Arial" w:hAnsi="Arial" w:cs="Arial"/>
        <w:color w:val="000000"/>
        <w:sz w:val="18"/>
        <w:szCs w:val="18"/>
      </w:rPr>
      <w:fldChar w:fldCharType="separate"/>
    </w:r>
    <w:r w:rsidR="006D0E82">
      <w:rPr>
        <w:rFonts w:ascii="Arial" w:eastAsia="Arial" w:hAnsi="Arial" w:cs="Arial"/>
        <w:noProof/>
        <w:color w:val="000000"/>
        <w:sz w:val="18"/>
        <w:szCs w:val="18"/>
      </w:rPr>
      <w:t>4</w:t>
    </w:r>
    <w:r w:rsidR="008E69E5">
      <w:rPr>
        <w:rFonts w:ascii="Arial" w:eastAsia="Arial" w:hAnsi="Arial" w:cs="Arial"/>
        <w:color w:val="000000"/>
        <w:sz w:val="18"/>
        <w:szCs w:val="18"/>
      </w:rPr>
      <w:fldChar w:fldCharType="end"/>
    </w:r>
  </w:p>
  <w:p w14:paraId="2A736638" w14:textId="77777777" w:rsidR="00346DF8" w:rsidRDefault="00346DF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E8A66" w14:textId="77777777" w:rsidR="00346DF8" w:rsidRDefault="005722A4">
    <w:pPr>
      <w:pBdr>
        <w:top w:val="nil"/>
        <w:left w:val="nil"/>
        <w:bottom w:val="nil"/>
        <w:right w:val="nil"/>
        <w:between w:val="nil"/>
      </w:pBdr>
      <w:tabs>
        <w:tab w:val="center" w:pos="4680"/>
        <w:tab w:val="right" w:pos="9360"/>
      </w:tabs>
      <w:rPr>
        <w:color w:val="000000"/>
      </w:rPr>
    </w:pPr>
    <w:r>
      <w:rPr>
        <w:noProof/>
        <w:color w:val="000000"/>
        <w:lang w:val="en-US" w:eastAsia="ja-JP"/>
      </w:rPr>
      <w:drawing>
        <wp:inline distT="0" distB="0" distL="0" distR="0" wp14:anchorId="6EE873DC" wp14:editId="66B1B023">
          <wp:extent cx="6184900" cy="774700"/>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184900" cy="774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3BFFE" w14:textId="77777777" w:rsidR="00780E1C" w:rsidRDefault="00780E1C">
      <w:r>
        <w:separator/>
      </w:r>
    </w:p>
  </w:footnote>
  <w:footnote w:type="continuationSeparator" w:id="0">
    <w:p w14:paraId="51606E00" w14:textId="77777777" w:rsidR="00780E1C" w:rsidRDefault="00780E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C110F" w14:textId="77777777" w:rsidR="00346DF8" w:rsidRDefault="005722A4">
    <w:pPr>
      <w:pBdr>
        <w:top w:val="nil"/>
        <w:left w:val="nil"/>
        <w:bottom w:val="nil"/>
        <w:right w:val="nil"/>
        <w:between w:val="nil"/>
      </w:pBdr>
      <w:tabs>
        <w:tab w:val="center" w:pos="4680"/>
        <w:tab w:val="right" w:pos="9360"/>
      </w:tabs>
      <w:jc w:val="center"/>
      <w:rPr>
        <w:color w:val="000000"/>
      </w:rPr>
    </w:pPr>
    <w:r>
      <w:rPr>
        <w:noProof/>
        <w:color w:val="000000"/>
        <w:lang w:val="en-US" w:eastAsia="ja-JP"/>
      </w:rPr>
      <w:drawing>
        <wp:inline distT="0" distB="0" distL="0" distR="0" wp14:anchorId="0A8B8BCD" wp14:editId="267EF0CB">
          <wp:extent cx="6184900" cy="7747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184900" cy="7747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5B95"/>
    <w:multiLevelType w:val="hybridMultilevel"/>
    <w:tmpl w:val="60E23CD2"/>
    <w:lvl w:ilvl="0" w:tplc="D1EE57F0">
      <w:start w:val="3"/>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C1DDF"/>
    <w:multiLevelType w:val="hybridMultilevel"/>
    <w:tmpl w:val="5AB0A8AE"/>
    <w:lvl w:ilvl="0" w:tplc="67106062">
      <w:start w:val="3"/>
      <w:numFmt w:val="lowerRoman"/>
      <w:lvlText w:val="%1."/>
      <w:lvlJc w:val="righ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41535"/>
    <w:multiLevelType w:val="hybridMultilevel"/>
    <w:tmpl w:val="6CF46F90"/>
    <w:lvl w:ilvl="0" w:tplc="3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 w15:restartNumberingAfterBreak="0">
    <w:nsid w:val="193534C8"/>
    <w:multiLevelType w:val="hybridMultilevel"/>
    <w:tmpl w:val="2D6CE454"/>
    <w:lvl w:ilvl="0" w:tplc="7178892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BF40C7F"/>
    <w:multiLevelType w:val="hybridMultilevel"/>
    <w:tmpl w:val="2F5439C0"/>
    <w:lvl w:ilvl="0" w:tplc="7764C93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4D1C2D"/>
    <w:multiLevelType w:val="hybridMultilevel"/>
    <w:tmpl w:val="1ED2C1D8"/>
    <w:lvl w:ilvl="0" w:tplc="3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281A2A42"/>
    <w:multiLevelType w:val="hybridMultilevel"/>
    <w:tmpl w:val="133C5400"/>
    <w:lvl w:ilvl="0" w:tplc="3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338C528E"/>
    <w:multiLevelType w:val="hybridMultilevel"/>
    <w:tmpl w:val="997E127C"/>
    <w:lvl w:ilvl="0" w:tplc="361E7726">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D3DA5"/>
    <w:multiLevelType w:val="hybridMultilevel"/>
    <w:tmpl w:val="E9AE732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417B5569"/>
    <w:multiLevelType w:val="hybridMultilevel"/>
    <w:tmpl w:val="AB6610A4"/>
    <w:lvl w:ilvl="0" w:tplc="D9EE2CB4">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9A783B"/>
    <w:multiLevelType w:val="hybridMultilevel"/>
    <w:tmpl w:val="84DEC1FC"/>
    <w:lvl w:ilvl="0" w:tplc="7916BF4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873452"/>
    <w:multiLevelType w:val="hybridMultilevel"/>
    <w:tmpl w:val="5B181360"/>
    <w:lvl w:ilvl="0" w:tplc="2A488AD4">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56CA486A"/>
    <w:multiLevelType w:val="hybridMultilevel"/>
    <w:tmpl w:val="133C5400"/>
    <w:lvl w:ilvl="0" w:tplc="3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9AE2F53"/>
    <w:multiLevelType w:val="hybridMultilevel"/>
    <w:tmpl w:val="85F0DCC2"/>
    <w:lvl w:ilvl="0" w:tplc="3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34D3B"/>
    <w:multiLevelType w:val="hybridMultilevel"/>
    <w:tmpl w:val="133C5400"/>
    <w:lvl w:ilvl="0" w:tplc="3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15:restartNumberingAfterBreak="0">
    <w:nsid w:val="5FCF58A9"/>
    <w:multiLevelType w:val="hybridMultilevel"/>
    <w:tmpl w:val="133C5400"/>
    <w:lvl w:ilvl="0" w:tplc="3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8804107"/>
    <w:multiLevelType w:val="hybridMultilevel"/>
    <w:tmpl w:val="BA8AD3B6"/>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7" w15:restartNumberingAfterBreak="0">
    <w:nsid w:val="6CF95808"/>
    <w:multiLevelType w:val="hybridMultilevel"/>
    <w:tmpl w:val="1ED2C1D8"/>
    <w:lvl w:ilvl="0" w:tplc="3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15:restartNumberingAfterBreak="0">
    <w:nsid w:val="737B0E66"/>
    <w:multiLevelType w:val="hybridMultilevel"/>
    <w:tmpl w:val="1ED2C1D8"/>
    <w:lvl w:ilvl="0" w:tplc="3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9" w15:restartNumberingAfterBreak="0">
    <w:nsid w:val="746047E5"/>
    <w:multiLevelType w:val="hybridMultilevel"/>
    <w:tmpl w:val="1ED2C1D8"/>
    <w:lvl w:ilvl="0" w:tplc="3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15:restartNumberingAfterBreak="0">
    <w:nsid w:val="7A376688"/>
    <w:multiLevelType w:val="hybridMultilevel"/>
    <w:tmpl w:val="BCD022E8"/>
    <w:lvl w:ilvl="0" w:tplc="3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7AEA33FB"/>
    <w:multiLevelType w:val="hybridMultilevel"/>
    <w:tmpl w:val="C2108F02"/>
    <w:lvl w:ilvl="0" w:tplc="D63C40EC">
      <w:start w:val="3"/>
      <w:numFmt w:val="lowerRoman"/>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18"/>
  </w:num>
  <w:num w:numId="4">
    <w:abstractNumId w:val="2"/>
  </w:num>
  <w:num w:numId="5">
    <w:abstractNumId w:val="6"/>
  </w:num>
  <w:num w:numId="6">
    <w:abstractNumId w:val="19"/>
  </w:num>
  <w:num w:numId="7">
    <w:abstractNumId w:val="15"/>
  </w:num>
  <w:num w:numId="8">
    <w:abstractNumId w:val="11"/>
  </w:num>
  <w:num w:numId="9">
    <w:abstractNumId w:val="14"/>
  </w:num>
  <w:num w:numId="10">
    <w:abstractNumId w:val="17"/>
  </w:num>
  <w:num w:numId="11">
    <w:abstractNumId w:val="12"/>
  </w:num>
  <w:num w:numId="12">
    <w:abstractNumId w:val="5"/>
  </w:num>
  <w:num w:numId="13">
    <w:abstractNumId w:val="20"/>
  </w:num>
  <w:num w:numId="14">
    <w:abstractNumId w:val="16"/>
  </w:num>
  <w:num w:numId="15">
    <w:abstractNumId w:val="8"/>
  </w:num>
  <w:num w:numId="16">
    <w:abstractNumId w:val="10"/>
  </w:num>
  <w:num w:numId="17">
    <w:abstractNumId w:val="9"/>
  </w:num>
  <w:num w:numId="18">
    <w:abstractNumId w:val="4"/>
  </w:num>
  <w:num w:numId="19">
    <w:abstractNumId w:val="7"/>
  </w:num>
  <w:num w:numId="20">
    <w:abstractNumId w:val="0"/>
  </w:num>
  <w:num w:numId="21">
    <w:abstractNumId w:val="1"/>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F8"/>
    <w:rsid w:val="000875B6"/>
    <w:rsid w:val="000A6C09"/>
    <w:rsid w:val="000B5CC0"/>
    <w:rsid w:val="000B6E2A"/>
    <w:rsid w:val="000C651B"/>
    <w:rsid w:val="000F6BFA"/>
    <w:rsid w:val="001408C9"/>
    <w:rsid w:val="0017508E"/>
    <w:rsid w:val="001C67CA"/>
    <w:rsid w:val="00202B3E"/>
    <w:rsid w:val="00217C64"/>
    <w:rsid w:val="00222E4A"/>
    <w:rsid w:val="002638EE"/>
    <w:rsid w:val="00294CE7"/>
    <w:rsid w:val="002C1595"/>
    <w:rsid w:val="002D27CC"/>
    <w:rsid w:val="00305294"/>
    <w:rsid w:val="0031094C"/>
    <w:rsid w:val="003308CE"/>
    <w:rsid w:val="00346DF8"/>
    <w:rsid w:val="003471AD"/>
    <w:rsid w:val="00353D9B"/>
    <w:rsid w:val="003E1233"/>
    <w:rsid w:val="003E77F7"/>
    <w:rsid w:val="00404614"/>
    <w:rsid w:val="00432B03"/>
    <w:rsid w:val="00437D5B"/>
    <w:rsid w:val="00471171"/>
    <w:rsid w:val="00483056"/>
    <w:rsid w:val="00495D9C"/>
    <w:rsid w:val="004D73D6"/>
    <w:rsid w:val="004F54E0"/>
    <w:rsid w:val="004F7146"/>
    <w:rsid w:val="00533C26"/>
    <w:rsid w:val="0054391C"/>
    <w:rsid w:val="00544281"/>
    <w:rsid w:val="00544A46"/>
    <w:rsid w:val="005722A4"/>
    <w:rsid w:val="005727EF"/>
    <w:rsid w:val="005D2E95"/>
    <w:rsid w:val="005D7FC2"/>
    <w:rsid w:val="005E0C94"/>
    <w:rsid w:val="005F7400"/>
    <w:rsid w:val="006137CD"/>
    <w:rsid w:val="00641DF8"/>
    <w:rsid w:val="006818C8"/>
    <w:rsid w:val="006C5977"/>
    <w:rsid w:val="006D0E82"/>
    <w:rsid w:val="006E02F4"/>
    <w:rsid w:val="00703F6C"/>
    <w:rsid w:val="00740D10"/>
    <w:rsid w:val="00756DA3"/>
    <w:rsid w:val="00780E1C"/>
    <w:rsid w:val="0078750C"/>
    <w:rsid w:val="007A4DC4"/>
    <w:rsid w:val="007D4E1C"/>
    <w:rsid w:val="007D77E3"/>
    <w:rsid w:val="007E3A2A"/>
    <w:rsid w:val="007F2281"/>
    <w:rsid w:val="007F7468"/>
    <w:rsid w:val="008050D7"/>
    <w:rsid w:val="00810621"/>
    <w:rsid w:val="00811EC1"/>
    <w:rsid w:val="00815113"/>
    <w:rsid w:val="00820E78"/>
    <w:rsid w:val="00826BC8"/>
    <w:rsid w:val="00843723"/>
    <w:rsid w:val="0084517C"/>
    <w:rsid w:val="00862E27"/>
    <w:rsid w:val="008703F3"/>
    <w:rsid w:val="0087060C"/>
    <w:rsid w:val="008713A8"/>
    <w:rsid w:val="0089175C"/>
    <w:rsid w:val="008B0D2B"/>
    <w:rsid w:val="008E1399"/>
    <w:rsid w:val="008E69E5"/>
    <w:rsid w:val="00905D12"/>
    <w:rsid w:val="00910F05"/>
    <w:rsid w:val="00913EC8"/>
    <w:rsid w:val="009140E8"/>
    <w:rsid w:val="009250B5"/>
    <w:rsid w:val="00932F1E"/>
    <w:rsid w:val="00957715"/>
    <w:rsid w:val="009651B3"/>
    <w:rsid w:val="00990844"/>
    <w:rsid w:val="009A38D7"/>
    <w:rsid w:val="009B3B2D"/>
    <w:rsid w:val="009D4070"/>
    <w:rsid w:val="009D42D9"/>
    <w:rsid w:val="00AB7111"/>
    <w:rsid w:val="00AB77C0"/>
    <w:rsid w:val="00AE3E51"/>
    <w:rsid w:val="00AF08F5"/>
    <w:rsid w:val="00AF2548"/>
    <w:rsid w:val="00B31E37"/>
    <w:rsid w:val="00B71CF7"/>
    <w:rsid w:val="00B84175"/>
    <w:rsid w:val="00B974F8"/>
    <w:rsid w:val="00BB4EAE"/>
    <w:rsid w:val="00BE64E2"/>
    <w:rsid w:val="00BE6B42"/>
    <w:rsid w:val="00C05352"/>
    <w:rsid w:val="00C175D2"/>
    <w:rsid w:val="00C27CD6"/>
    <w:rsid w:val="00C92883"/>
    <w:rsid w:val="00C95C4C"/>
    <w:rsid w:val="00C97124"/>
    <w:rsid w:val="00CA41DC"/>
    <w:rsid w:val="00CB16A3"/>
    <w:rsid w:val="00CD1441"/>
    <w:rsid w:val="00CF2B6C"/>
    <w:rsid w:val="00D01B5A"/>
    <w:rsid w:val="00D86E8F"/>
    <w:rsid w:val="00D965DD"/>
    <w:rsid w:val="00DB267C"/>
    <w:rsid w:val="00DD7976"/>
    <w:rsid w:val="00DF67D6"/>
    <w:rsid w:val="00E20E1C"/>
    <w:rsid w:val="00E24397"/>
    <w:rsid w:val="00E26E45"/>
    <w:rsid w:val="00E37065"/>
    <w:rsid w:val="00E628FA"/>
    <w:rsid w:val="00E86E28"/>
    <w:rsid w:val="00EA6663"/>
    <w:rsid w:val="00EB0BD9"/>
    <w:rsid w:val="00EB21DE"/>
    <w:rsid w:val="00EB48E3"/>
    <w:rsid w:val="00EE3EF1"/>
    <w:rsid w:val="00F14C42"/>
    <w:rsid w:val="00F43359"/>
    <w:rsid w:val="00F5310E"/>
    <w:rsid w:val="00F71893"/>
    <w:rsid w:val="00F7398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E62BD"/>
  <w15:docId w15:val="{A3C22487-D3B6-4E38-881F-0F9D9E9F2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4397"/>
  </w:style>
  <w:style w:type="paragraph" w:styleId="Heading1">
    <w:name w:val="heading 1"/>
    <w:basedOn w:val="Normal"/>
    <w:next w:val="Normal"/>
    <w:rsid w:val="00E24397"/>
    <w:pPr>
      <w:keepNext/>
      <w:keepLines/>
      <w:spacing w:before="480" w:after="120"/>
      <w:outlineLvl w:val="0"/>
    </w:pPr>
    <w:rPr>
      <w:b/>
      <w:sz w:val="48"/>
      <w:szCs w:val="48"/>
    </w:rPr>
  </w:style>
  <w:style w:type="paragraph" w:styleId="Heading2">
    <w:name w:val="heading 2"/>
    <w:basedOn w:val="Normal"/>
    <w:next w:val="Normal"/>
    <w:rsid w:val="00E24397"/>
    <w:pPr>
      <w:keepNext/>
      <w:keepLines/>
      <w:spacing w:before="360" w:after="80"/>
      <w:outlineLvl w:val="1"/>
    </w:pPr>
    <w:rPr>
      <w:b/>
      <w:sz w:val="36"/>
      <w:szCs w:val="36"/>
    </w:rPr>
  </w:style>
  <w:style w:type="paragraph" w:styleId="Heading3">
    <w:name w:val="heading 3"/>
    <w:basedOn w:val="Normal"/>
    <w:next w:val="Normal"/>
    <w:rsid w:val="00E24397"/>
    <w:pPr>
      <w:keepNext/>
      <w:keepLines/>
      <w:spacing w:before="280" w:after="80"/>
      <w:outlineLvl w:val="2"/>
    </w:pPr>
    <w:rPr>
      <w:b/>
      <w:sz w:val="28"/>
      <w:szCs w:val="28"/>
    </w:rPr>
  </w:style>
  <w:style w:type="paragraph" w:styleId="Heading4">
    <w:name w:val="heading 4"/>
    <w:basedOn w:val="Normal"/>
    <w:next w:val="Normal"/>
    <w:rsid w:val="00E24397"/>
    <w:pPr>
      <w:keepNext/>
      <w:keepLines/>
      <w:spacing w:before="240" w:after="40"/>
      <w:outlineLvl w:val="3"/>
    </w:pPr>
    <w:rPr>
      <w:b/>
      <w:sz w:val="24"/>
      <w:szCs w:val="24"/>
    </w:rPr>
  </w:style>
  <w:style w:type="paragraph" w:styleId="Heading5">
    <w:name w:val="heading 5"/>
    <w:basedOn w:val="Normal"/>
    <w:next w:val="Normal"/>
    <w:rsid w:val="00E24397"/>
    <w:pPr>
      <w:keepNext/>
      <w:keepLines/>
      <w:spacing w:before="220" w:after="40"/>
      <w:outlineLvl w:val="4"/>
    </w:pPr>
    <w:rPr>
      <w:b/>
    </w:rPr>
  </w:style>
  <w:style w:type="paragraph" w:styleId="Heading6">
    <w:name w:val="heading 6"/>
    <w:basedOn w:val="Normal"/>
    <w:next w:val="Normal"/>
    <w:rsid w:val="00E2439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24397"/>
    <w:pPr>
      <w:keepNext/>
      <w:keepLines/>
      <w:spacing w:before="480" w:after="120"/>
    </w:pPr>
    <w:rPr>
      <w:b/>
      <w:sz w:val="72"/>
      <w:szCs w:val="72"/>
    </w:rPr>
  </w:style>
  <w:style w:type="paragraph" w:styleId="Subtitle">
    <w:name w:val="Subtitle"/>
    <w:basedOn w:val="Normal"/>
    <w:next w:val="Normal"/>
    <w:rsid w:val="00E24397"/>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43359"/>
    <w:rPr>
      <w:rFonts w:ascii="Tahoma" w:hAnsi="Tahoma" w:cs="Tahoma"/>
      <w:sz w:val="16"/>
      <w:szCs w:val="16"/>
    </w:rPr>
  </w:style>
  <w:style w:type="character" w:customStyle="1" w:styleId="BalloonTextChar">
    <w:name w:val="Balloon Text Char"/>
    <w:basedOn w:val="DefaultParagraphFont"/>
    <w:link w:val="BalloonText"/>
    <w:uiPriority w:val="99"/>
    <w:semiHidden/>
    <w:rsid w:val="00F43359"/>
    <w:rPr>
      <w:rFonts w:ascii="Tahoma" w:hAnsi="Tahoma" w:cs="Tahoma"/>
      <w:sz w:val="16"/>
      <w:szCs w:val="16"/>
    </w:rPr>
  </w:style>
  <w:style w:type="paragraph" w:styleId="Header">
    <w:name w:val="header"/>
    <w:basedOn w:val="Normal"/>
    <w:link w:val="HeaderChar"/>
    <w:uiPriority w:val="99"/>
    <w:unhideWhenUsed/>
    <w:rsid w:val="00432B03"/>
    <w:pPr>
      <w:tabs>
        <w:tab w:val="center" w:pos="4680"/>
        <w:tab w:val="right" w:pos="9360"/>
      </w:tabs>
    </w:pPr>
  </w:style>
  <w:style w:type="character" w:customStyle="1" w:styleId="HeaderChar">
    <w:name w:val="Header Char"/>
    <w:basedOn w:val="DefaultParagraphFont"/>
    <w:link w:val="Header"/>
    <w:uiPriority w:val="99"/>
    <w:rsid w:val="00432B03"/>
  </w:style>
  <w:style w:type="paragraph" w:styleId="Footer">
    <w:name w:val="footer"/>
    <w:basedOn w:val="Normal"/>
    <w:link w:val="FooterChar"/>
    <w:uiPriority w:val="99"/>
    <w:unhideWhenUsed/>
    <w:rsid w:val="00432B03"/>
    <w:pPr>
      <w:tabs>
        <w:tab w:val="center" w:pos="4680"/>
        <w:tab w:val="right" w:pos="9360"/>
      </w:tabs>
    </w:pPr>
  </w:style>
  <w:style w:type="character" w:customStyle="1" w:styleId="FooterChar">
    <w:name w:val="Footer Char"/>
    <w:basedOn w:val="DefaultParagraphFont"/>
    <w:link w:val="Footer"/>
    <w:uiPriority w:val="99"/>
    <w:rsid w:val="00432B03"/>
  </w:style>
  <w:style w:type="paragraph" w:styleId="NoSpacing">
    <w:name w:val="No Spacing"/>
    <w:uiPriority w:val="1"/>
    <w:qFormat/>
    <w:rsid w:val="00BB4EAE"/>
    <w:rPr>
      <w:rFonts w:cs="Times New Roman"/>
      <w:lang w:eastAsia="en-US"/>
    </w:rPr>
  </w:style>
  <w:style w:type="character" w:styleId="CommentReference">
    <w:name w:val="annotation reference"/>
    <w:basedOn w:val="DefaultParagraphFont"/>
    <w:uiPriority w:val="99"/>
    <w:semiHidden/>
    <w:unhideWhenUsed/>
    <w:rsid w:val="008713A8"/>
    <w:rPr>
      <w:sz w:val="16"/>
      <w:szCs w:val="16"/>
    </w:rPr>
  </w:style>
  <w:style w:type="paragraph" w:styleId="CommentText">
    <w:name w:val="annotation text"/>
    <w:basedOn w:val="Normal"/>
    <w:link w:val="CommentTextChar"/>
    <w:uiPriority w:val="99"/>
    <w:unhideWhenUsed/>
    <w:rsid w:val="008713A8"/>
    <w:rPr>
      <w:sz w:val="20"/>
      <w:szCs w:val="20"/>
    </w:rPr>
  </w:style>
  <w:style w:type="character" w:customStyle="1" w:styleId="CommentTextChar">
    <w:name w:val="Comment Text Char"/>
    <w:basedOn w:val="DefaultParagraphFont"/>
    <w:link w:val="CommentText"/>
    <w:uiPriority w:val="99"/>
    <w:rsid w:val="008713A8"/>
    <w:rPr>
      <w:sz w:val="20"/>
      <w:szCs w:val="20"/>
    </w:rPr>
  </w:style>
  <w:style w:type="paragraph" w:styleId="CommentSubject">
    <w:name w:val="annotation subject"/>
    <w:basedOn w:val="CommentText"/>
    <w:next w:val="CommentText"/>
    <w:link w:val="CommentSubjectChar"/>
    <w:uiPriority w:val="99"/>
    <w:semiHidden/>
    <w:unhideWhenUsed/>
    <w:rsid w:val="008713A8"/>
    <w:rPr>
      <w:b/>
      <w:bCs/>
    </w:rPr>
  </w:style>
  <w:style w:type="character" w:customStyle="1" w:styleId="CommentSubjectChar">
    <w:name w:val="Comment Subject Char"/>
    <w:basedOn w:val="CommentTextChar"/>
    <w:link w:val="CommentSubject"/>
    <w:uiPriority w:val="99"/>
    <w:semiHidden/>
    <w:rsid w:val="008713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29F4A-0937-4197-BC1A-02F48990E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EAD-MFG</dc:creator>
  <cp:lastModifiedBy>Margie mATAAC</cp:lastModifiedBy>
  <cp:revision>19</cp:revision>
  <dcterms:created xsi:type="dcterms:W3CDTF">2020-10-20T06:18:00Z</dcterms:created>
  <dcterms:modified xsi:type="dcterms:W3CDTF">2020-10-25T12:48:00Z</dcterms:modified>
</cp:coreProperties>
</file>